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首都医科大学关于</w:t>
      </w:r>
      <w:r>
        <w:rPr>
          <w:rFonts w:ascii="方正小标宋简体" w:hAnsi="方正小标宋简体" w:eastAsia="方正小标宋简体" w:cs="方正小标宋简体"/>
          <w:sz w:val="36"/>
          <w:szCs w:val="36"/>
        </w:rPr>
        <w:t>2025年度北京市自然科学基金</w:t>
      </w:r>
    </w:p>
    <w:p>
      <w:pPr>
        <w:spacing w:line="560" w:lineRule="exact"/>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本科生“启研”计划申报的</w:t>
      </w:r>
      <w:r>
        <w:rPr>
          <w:rFonts w:hint="eastAsia" w:ascii="方正小标宋简体" w:hAnsi="方正小标宋简体" w:eastAsia="方正小标宋简体" w:cs="方正小标宋简体"/>
          <w:sz w:val="36"/>
          <w:szCs w:val="36"/>
        </w:rPr>
        <w:t>工作通知</w:t>
      </w:r>
    </w:p>
    <w:p>
      <w:pPr>
        <w:spacing w:line="560" w:lineRule="exact"/>
        <w:rPr>
          <w:rFonts w:ascii="仿宋_GB2312" w:hAnsi="仿宋_GB2312" w:eastAsia="仿宋_GB2312" w:cs="仿宋_GB2312"/>
          <w:sz w:val="32"/>
          <w:szCs w:val="32"/>
        </w:rPr>
      </w:pPr>
      <w:r>
        <w:rPr>
          <w:rFonts w:hint="eastAsia" w:ascii="微软雅黑" w:hAnsi="微软雅黑" w:eastAsia="微软雅黑"/>
          <w:color w:val="555555"/>
          <w:sz w:val="24"/>
          <w:szCs w:val="24"/>
          <w:shd w:val="clear" w:color="auto" w:fill="FFFFFF"/>
        </w:rPr>
        <w:t xml:space="preserve"> </w:t>
      </w:r>
      <w:r>
        <w:rPr>
          <w:rFonts w:ascii="Calibri" w:hAnsi="Calibri" w:eastAsia="仿宋_GB2312" w:cs="Calibri"/>
          <w:sz w:val="32"/>
          <w:szCs w:val="32"/>
        </w:rPr>
        <w:t>   </w:t>
      </w:r>
      <w:r>
        <w:rPr>
          <w:rFonts w:hint="eastAsia" w:ascii="仿宋_GB2312" w:hAnsi="仿宋_GB2312" w:eastAsia="仿宋_GB2312" w:cs="仿宋_GB2312"/>
          <w:sz w:val="32"/>
          <w:szCs w:val="32"/>
        </w:rPr>
        <w:t xml:space="preserve">  </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北京市自然科学基金委员会办公室发布的《北京市自然科学基金本科生“启研”计划试点工作方案》文件精神，学校以培养造就一批有望进入世界科技前沿的优秀青年学术人才为目标，探索对优秀的高年级在读本科生给予早期基础研究项目支持，优中选优，培养本科生热爱钻研的科学兴趣、独立思考的科研思维、善于质疑的批判精神、勇于创新的探索精神和敢闯会创的意志品格，为构建高质量基础研究人才队伍提供“源头活水”，作为北京市自然科学基金本科生“启研”计划试点单位，按照市自然基金委办公室《关于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年度北京市自然科学基金本科生“启研”计划申报的通知》（以下简称“启研”计划，见附件1）和《首都医科大学本科生“启研”计划工作实施方案》（见附件2），现就首都医科大学2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年度北京市自然科学基金本科生“启研”计划申报工作安排如下：</w:t>
      </w:r>
    </w:p>
    <w:p>
      <w:pPr>
        <w:spacing w:line="560" w:lineRule="exact"/>
        <w:rPr>
          <w:rFonts w:ascii="仿宋_GB2312" w:hAnsi="仿宋_GB2312" w:eastAsia="仿宋_GB2312" w:cs="仿宋_GB2312"/>
          <w:sz w:val="32"/>
          <w:szCs w:val="32"/>
        </w:rPr>
      </w:pPr>
      <w:r>
        <w:rPr>
          <w:rFonts w:ascii="Calibri" w:hAnsi="Calibri" w:eastAsia="仿宋_GB2312" w:cs="Calibri"/>
          <w:sz w:val="32"/>
          <w:szCs w:val="32"/>
        </w:rPr>
        <w:t> </w:t>
      </w:r>
      <w:r>
        <w:rPr>
          <w:rFonts w:hint="eastAsia" w:ascii="Calibri" w:hAnsi="Calibri" w:eastAsia="仿宋_GB2312" w:cs="Calibri"/>
          <w:sz w:val="32"/>
          <w:szCs w:val="32"/>
        </w:rPr>
        <w:t xml:space="preserve">    </w:t>
      </w:r>
      <w:r>
        <w:rPr>
          <w:rFonts w:hint="eastAsia" w:ascii="仿宋_GB2312" w:hAnsi="仿宋_GB2312" w:eastAsia="仿宋_GB2312" w:cs="仿宋_GB2312"/>
          <w:sz w:val="32"/>
          <w:szCs w:val="32"/>
        </w:rPr>
        <w:t>一、执行周期与资助强度</w:t>
      </w:r>
      <w:r>
        <w:rPr>
          <w:rFonts w:hint="eastAsia" w:ascii="仿宋_GB2312" w:hAnsi="仿宋_GB2312" w:eastAsia="仿宋_GB2312" w:cs="仿宋_GB2312"/>
          <w:sz w:val="32"/>
          <w:szCs w:val="32"/>
        </w:rPr>
        <w:br w:type="textWrapping"/>
      </w:r>
      <w:r>
        <w:rPr>
          <w:rFonts w:ascii="Calibri" w:hAnsi="Calibri" w:eastAsia="仿宋_GB2312" w:cs="Calibri"/>
          <w:sz w:val="32"/>
          <w:szCs w:val="32"/>
        </w:rPr>
        <w:t xml:space="preserve">     </w:t>
      </w:r>
      <w:r>
        <w:rPr>
          <w:rFonts w:hint="eastAsia" w:ascii="仿宋_GB2312" w:hAnsi="仿宋_GB2312" w:eastAsia="仿宋_GB2312" w:cs="仿宋_GB2312"/>
          <w:sz w:val="32"/>
          <w:szCs w:val="32"/>
        </w:rPr>
        <w:t xml:space="preserve"> 我校作为“启研”计划试点单位，202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年度可推荐的项目数量为</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0项。项目执行周期为1年（即202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年7月1日至202</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年6月3</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日）或2年（202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年7月1日至202</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年6月3</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日），项目资助强度平均为5万元/项，可根据不同学科的实际需要合理安排单项资助强度，最高不超过10万元/项。</w:t>
      </w:r>
    </w:p>
    <w:p>
      <w:pPr>
        <w:spacing w:line="560" w:lineRule="exact"/>
        <w:ind w:firstLine="345"/>
        <w:rPr>
          <w:rFonts w:ascii="仿宋_GB2312" w:hAnsi="仿宋_GB2312" w:eastAsia="仿宋_GB2312" w:cs="仿宋_GB2312"/>
          <w:sz w:val="32"/>
          <w:szCs w:val="32"/>
        </w:rPr>
      </w:pPr>
      <w:r>
        <w:rPr>
          <w:rFonts w:ascii="Calibri" w:hAnsi="Calibri" w:eastAsia="仿宋_GB2312" w:cs="Calibri"/>
          <w:sz w:val="32"/>
          <w:szCs w:val="32"/>
        </w:rPr>
        <w:t>   </w:t>
      </w:r>
      <w:r>
        <w:rPr>
          <w:rFonts w:hint="eastAsia" w:ascii="仿宋_GB2312" w:hAnsi="仿宋_GB2312" w:eastAsia="仿宋_GB2312" w:cs="仿宋_GB2312"/>
          <w:sz w:val="32"/>
          <w:szCs w:val="32"/>
        </w:rPr>
        <w:t xml:space="preserve"> 二、申报条件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（一）申请人须为首都医科大学全日制在读本科生（含已获得推荐免试攻读研究生学位资格的本科生、本博贯通培养模式下本科生阶段的学生）；</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（二）申请人在首都医科大学在读时间需覆盖申报项目的执行期；</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（三）申请人应具有良好学风，具备科学家潜质，愿意从事科学研究事业，并具有一定的科学研究素质和专业知识基础；</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（四）应依托具有良好科研基础的实验室或研究团队；</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（五）申请人所学专业涉及：</w:t>
      </w:r>
      <w:r>
        <w:rPr>
          <w:rFonts w:hint="eastAsia" w:ascii="仿宋_GB2312" w:eastAsia="仿宋_GB2312" w:cs="仿宋_GB2312"/>
          <w:color w:val="000000"/>
          <w:sz w:val="32"/>
          <w:szCs w:val="32"/>
        </w:rPr>
        <w:t>临床医学（阶平班）、口腔医学（阶平班）、基础医学、药学、生物医学工程、预防医学、中药学等专业；</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w:t>
      </w:r>
      <w:r>
        <w:rPr>
          <w:rFonts w:hint="eastAsia" w:ascii="仿宋_GB2312" w:hAnsi="Arial" w:eastAsia="仿宋_GB2312" w:cs="Arial"/>
          <w:color w:val="000000"/>
          <w:kern w:val="0"/>
          <w:sz w:val="32"/>
          <w:szCs w:val="32"/>
        </w:rPr>
        <w:t>鼓励申请人联系其他学生、教师参与项目工作；</w:t>
      </w:r>
    </w:p>
    <w:p>
      <w:pPr>
        <w:spacing w:line="560" w:lineRule="exact"/>
        <w:ind w:firstLine="640" w:firstLineChars="200"/>
        <w:rPr>
          <w:rFonts w:ascii="仿宋_GB2312" w:hAnsi="Arial" w:eastAsia="仿宋_GB2312" w:cs="Arial"/>
          <w:color w:val="000000"/>
          <w:kern w:val="0"/>
          <w:sz w:val="32"/>
          <w:szCs w:val="32"/>
        </w:rPr>
      </w:pPr>
      <w:r>
        <w:rPr>
          <w:rFonts w:hint="eastAsia" w:ascii="仿宋_GB2312" w:hAnsi="Arial" w:eastAsia="仿宋_GB2312" w:cs="Arial"/>
          <w:color w:val="000000"/>
          <w:kern w:val="0"/>
          <w:sz w:val="32"/>
          <w:szCs w:val="32"/>
        </w:rPr>
        <w:t>（七）申请人及团队成员应具有良好的政治思想和道德品行，学生学习成绩优良；</w:t>
      </w:r>
    </w:p>
    <w:p>
      <w:pPr>
        <w:spacing w:line="560" w:lineRule="exact"/>
        <w:ind w:firstLine="640" w:firstLineChars="200"/>
        <w:rPr>
          <w:rFonts w:ascii="仿宋_GB2312" w:hAnsi="Arial" w:eastAsia="仿宋_GB2312" w:cs="Arial"/>
          <w:color w:val="000000"/>
          <w:kern w:val="0"/>
          <w:sz w:val="32"/>
          <w:szCs w:val="32"/>
        </w:rPr>
      </w:pPr>
      <w:r>
        <w:rPr>
          <w:rFonts w:hint="eastAsia" w:ascii="仿宋_GB2312" w:hAnsi="仿宋_GB2312" w:eastAsia="仿宋_GB2312" w:cs="仿宋_GB2312"/>
          <w:sz w:val="32"/>
          <w:szCs w:val="32"/>
        </w:rPr>
        <w:t>（八）</w:t>
      </w:r>
      <w:r>
        <w:rPr>
          <w:rFonts w:hint="eastAsia" w:ascii="仿宋_GB2312" w:hAnsi="Arial" w:eastAsia="仿宋_GB2312" w:cs="Arial"/>
          <w:b/>
          <w:bCs/>
          <w:color w:val="000000"/>
          <w:kern w:val="0"/>
          <w:sz w:val="32"/>
          <w:szCs w:val="32"/>
        </w:rPr>
        <w:t>申请人未获得国家自然科学基金青年学生基础研究项目、北京市自然科学基金本科生“启研”计划支持。</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申报向高年级学生倾斜，但申请人只允许申请立项1个项目。</w:t>
      </w:r>
    </w:p>
    <w:p>
      <w:pPr>
        <w:snapToGrid w:val="0"/>
        <w:spacing w:line="560" w:lineRule="exact"/>
        <w:ind w:firstLine="640" w:firstLineChars="200"/>
        <w:rPr>
          <w:rFonts w:ascii="仿宋_GB2312" w:hAnsi="仿宋_GB2312" w:eastAsia="仿宋_GB2312" w:cs="仿宋_GB2312"/>
          <w:sz w:val="32"/>
          <w:szCs w:val="32"/>
        </w:rPr>
      </w:pP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三、申报工作</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（一）申报流程</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1.各学院申报数额为：基础医学院（涉阶平班）18项，药学院6项，公共卫生学院9项，护理学院3项，生物医学工程学院8项，中医药学院6项；</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2.各学院组织符合条件的本科生及指导教师按照《北京市自然科学基金申请书（本科生“启研”计划）》（样式见附件3）撰写申请书；</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3.学院组织相关评审，根据项目申请人答辩情况、专家意见等综合评价，按照申报数额选拔推荐确定学院本年度本科生“启研”计划申请人、指导教师及资助强度和周期；</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4.学院向教务处上报推荐的申报项目及申报书；</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5.教务处组织对项目申请人的思想品行、学业成绩、以往申请科研项目情况等进行审核；</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6.教务处将通过申请人资格审核的项目及申报书转学校科技处进行内容等方面的审核；</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科技处遴选通过后，为申请人在学校北京市自然基金申报系统中开通账号，申请人填写《北京市自然科学基金本科生“启研”计划依托单位推荐意见》并在规定时间内登录北京市自然科学基金依托单位系统进行网上申报；</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8.科技处进行网上审核后，统一提交本年度学校启研计划所有申报材料。</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（二）时间安排</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各学院于202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月12日前向教务处上报本科生“启研”计划推荐项目清单（附件4）和申报书；</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教务处对项目申请人资格审核后，于2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6日前将同意申报的项目清单及申报书转交学校科技处审核；</w:t>
      </w:r>
    </w:p>
    <w:p>
      <w:pPr>
        <w:spacing w:line="560" w:lineRule="exact"/>
        <w:ind w:right="-57" w:firstLine="640" w:firstLineChars="200"/>
        <w:jc w:val="left"/>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科技处对教务处报送的项目进行遴选，最终确定3</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个项目。项目申请人进行“北京市自然科学基金依托单位系统”线上申报的时间以及网址另行通知。</w:t>
      </w:r>
    </w:p>
    <w:p>
      <w:pPr>
        <w:snapToGrid w:val="0"/>
        <w:spacing w:line="560" w:lineRule="exact"/>
        <w:ind w:firstLine="640" w:firstLineChars="200"/>
        <w:rPr>
          <w:rFonts w:ascii="仿宋_GB2312" w:hAnsi="仿宋_GB2312" w:eastAsia="仿宋_GB2312" w:cs="仿宋_GB2312"/>
          <w:sz w:val="32"/>
          <w:szCs w:val="32"/>
        </w:rPr>
      </w:pP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四、项目管理</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（一）项目实行导师负责制</w:t>
      </w:r>
    </w:p>
    <w:p>
      <w:pPr>
        <w:snapToGrid w:val="0"/>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本科生“启研”计划实行导师责任制，由学院为项目负责人确定</w:t>
      </w:r>
      <w:r>
        <w:rPr>
          <w:rFonts w:hint="eastAsia" w:ascii="仿宋_GB2312" w:hAnsi="仿宋_GB2312" w:eastAsia="仿宋_GB2312" w:cs="仿宋_GB2312"/>
          <w:sz w:val="32"/>
          <w:szCs w:val="32"/>
        </w:rPr>
        <w:t>1名</w:t>
      </w:r>
      <w:r>
        <w:rPr>
          <w:rFonts w:ascii="仿宋_GB2312" w:hAnsi="仿宋_GB2312" w:eastAsia="仿宋_GB2312" w:cs="仿宋_GB2312"/>
          <w:sz w:val="32"/>
          <w:szCs w:val="32"/>
        </w:rPr>
        <w:t>指导</w:t>
      </w:r>
      <w:r>
        <w:rPr>
          <w:rFonts w:hint="eastAsia" w:ascii="仿宋_GB2312" w:hAnsi="仿宋_GB2312" w:eastAsia="仿宋_GB2312" w:cs="仿宋_GB2312"/>
          <w:sz w:val="32"/>
          <w:szCs w:val="32"/>
        </w:rPr>
        <w:t>教</w:t>
      </w:r>
      <w:r>
        <w:rPr>
          <w:rFonts w:ascii="仿宋_GB2312" w:hAnsi="仿宋_GB2312" w:eastAsia="仿宋_GB2312" w:cs="仿宋_GB2312"/>
          <w:sz w:val="32"/>
          <w:szCs w:val="32"/>
        </w:rPr>
        <w:t>师。指导</w:t>
      </w:r>
      <w:r>
        <w:rPr>
          <w:rFonts w:hint="eastAsia" w:ascii="仿宋_GB2312" w:hAnsi="仿宋_GB2312" w:eastAsia="仿宋_GB2312" w:cs="仿宋_GB2312"/>
          <w:sz w:val="32"/>
          <w:szCs w:val="32"/>
        </w:rPr>
        <w:t>教师</w:t>
      </w:r>
      <w:r>
        <w:rPr>
          <w:rFonts w:ascii="仿宋_GB2312" w:hAnsi="仿宋_GB2312" w:eastAsia="仿宋_GB2312" w:cs="仿宋_GB2312"/>
          <w:sz w:val="32"/>
          <w:szCs w:val="32"/>
        </w:rPr>
        <w:t>须指导项目负责人开展基础研究工作，为其提供科研平台和科研资源，协助项目负责人合理安排项目经费的使用，项目结题时，指导</w:t>
      </w:r>
      <w:r>
        <w:rPr>
          <w:rFonts w:hint="eastAsia" w:ascii="仿宋_GB2312" w:hAnsi="仿宋_GB2312" w:eastAsia="仿宋_GB2312" w:cs="仿宋_GB2312"/>
          <w:sz w:val="32"/>
          <w:szCs w:val="32"/>
        </w:rPr>
        <w:t>教师</w:t>
      </w:r>
      <w:r>
        <w:rPr>
          <w:rFonts w:ascii="仿宋_GB2312" w:hAnsi="仿宋_GB2312" w:eastAsia="仿宋_GB2312" w:cs="仿宋_GB2312"/>
          <w:sz w:val="32"/>
          <w:szCs w:val="32"/>
        </w:rPr>
        <w:t>须指导项目负责人撰写结题报告，并协助其完成结题答辩。</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（二）经费管理</w:t>
      </w:r>
    </w:p>
    <w:p>
      <w:pPr>
        <w:snapToGrid w:val="0"/>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经费按照“包干制”相关办法执行，并通过“负面清单” 明确经费用途和范围。“负面清单”参照《北京市自然科学基金项目经费管理办法》(京财科文〔2023〕2110号)第十九条对“负面清单”的规定。</w:t>
      </w:r>
    </w:p>
    <w:p>
      <w:pPr>
        <w:snapToGrid w:val="0"/>
        <w:spacing w:line="560" w:lineRule="exact"/>
        <w:ind w:firstLine="640" w:firstLineChars="200"/>
        <w:rPr>
          <w:rFonts w:ascii="仿宋_GB2312" w:hAnsi="仿宋_GB2312" w:eastAsia="仿宋_GB2312" w:cs="仿宋_GB2312"/>
          <w:sz w:val="32"/>
          <w:szCs w:val="32"/>
        </w:rPr>
      </w:pP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五、联系方式</w:t>
      </w:r>
    </w:p>
    <w:tbl>
      <w:tblPr>
        <w:tblStyle w:val="9"/>
        <w:tblW w:w="86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40"/>
        <w:gridCol w:w="34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240" w:type="dxa"/>
          </w:tcPr>
          <w:p>
            <w:pPr>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联 系 人：宣登峰（科技处）</w:t>
            </w:r>
          </w:p>
        </w:tc>
        <w:tc>
          <w:tcPr>
            <w:tcW w:w="3402" w:type="dxa"/>
          </w:tcPr>
          <w:p>
            <w:pPr>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马凌（教务处）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0" w:type="dxa"/>
          </w:tcPr>
          <w:p>
            <w:pPr>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联系电话：8</w:t>
            </w:r>
            <w:r>
              <w:rPr>
                <w:rFonts w:ascii="仿宋_GB2312" w:hAnsi="仿宋_GB2312" w:eastAsia="仿宋_GB2312" w:cs="仿宋_GB2312"/>
                <w:sz w:val="32"/>
                <w:szCs w:val="32"/>
              </w:rPr>
              <w:t>3916535</w:t>
            </w:r>
          </w:p>
        </w:tc>
        <w:tc>
          <w:tcPr>
            <w:tcW w:w="3402" w:type="dxa"/>
          </w:tcPr>
          <w:p>
            <w:pPr>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ascii="仿宋_GB2312" w:hAnsi="仿宋_GB2312" w:eastAsia="仿宋_GB2312" w:cs="仿宋_GB2312"/>
                <w:sz w:val="32"/>
                <w:szCs w:val="32"/>
              </w:rPr>
              <w:t>3911056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0" w:type="dxa"/>
          </w:tcPr>
          <w:p>
            <w:pPr>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联系邮箱：</w:t>
            </w:r>
            <w:r>
              <w:rPr>
                <w:rFonts w:ascii="仿宋_GB2312" w:hAnsi="仿宋_GB2312" w:eastAsia="仿宋_GB2312" w:cs="仿宋_GB2312"/>
                <w:sz w:val="32"/>
                <w:szCs w:val="32"/>
              </w:rPr>
              <w:t xml:space="preserve"> xuandf@ccmu.edu.cn</w:t>
            </w:r>
          </w:p>
        </w:tc>
        <w:tc>
          <w:tcPr>
            <w:tcW w:w="3402" w:type="dxa"/>
          </w:tcPr>
          <w:p>
            <w:pPr>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m</w:t>
            </w:r>
            <w:r>
              <w:rPr>
                <w:rFonts w:ascii="仿宋_GB2312" w:hAnsi="仿宋_GB2312" w:eastAsia="仿宋_GB2312" w:cs="仿宋_GB2312"/>
                <w:sz w:val="32"/>
                <w:szCs w:val="32"/>
              </w:rPr>
              <w:t>aling@ccmu.edu.cn</w:t>
            </w:r>
          </w:p>
        </w:tc>
      </w:tr>
    </w:tbl>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附件1:关于202</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年度北京市自然科学基金本科生“启研”计</w:t>
      </w:r>
      <w:bookmarkStart w:id="0" w:name="_GoBack"/>
      <w:bookmarkEnd w:id="0"/>
      <w:r>
        <w:rPr>
          <w:rFonts w:hint="eastAsia" w:ascii="仿宋_GB2312" w:hAnsi="仿宋_GB2312" w:eastAsia="仿宋_GB2312" w:cs="仿宋_GB2312"/>
          <w:sz w:val="28"/>
          <w:szCs w:val="28"/>
        </w:rPr>
        <w:t>划申报的通知</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附件2:首都医科大学本科生“启研”计划工作实施方案</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附件3</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北京市自然科学基金本科生“启研”计划申请书模板</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附件4：首都医科大学202</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年度北京市自然科学基金本科生“启研”计划推荐项目清单</w:t>
      </w: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napToGrid w:val="0"/>
        <w:spacing w:line="560" w:lineRule="exact"/>
        <w:ind w:firstLine="640" w:firstLineChars="200"/>
        <w:jc w:val="left"/>
        <w:rPr>
          <w:rFonts w:ascii="Calibri" w:hAnsi="Calibri" w:eastAsia="仿宋_GB2312" w:cs="Calibri"/>
          <w:sz w:val="32"/>
          <w:szCs w:val="32"/>
        </w:rPr>
      </w:pPr>
      <w:r>
        <w:rPr>
          <w:rFonts w:ascii="Calibri" w:hAnsi="Calibri" w:eastAsia="仿宋_GB2312" w:cs="Calibri"/>
          <w:sz w:val="32"/>
          <w:szCs w:val="32"/>
        </w:rPr>
        <w:t xml:space="preserve">                                               </w:t>
      </w:r>
      <w:r>
        <w:rPr>
          <w:rFonts w:hint="eastAsia" w:ascii="Calibri" w:hAnsi="Calibri" w:eastAsia="仿宋_GB2312" w:cs="Calibri"/>
          <w:sz w:val="32"/>
          <w:szCs w:val="32"/>
        </w:rPr>
        <w:t xml:space="preserve">  科技处、教务处</w:t>
      </w:r>
    </w:p>
    <w:p>
      <w:pPr>
        <w:snapToGrid w:val="0"/>
        <w:spacing w:line="560" w:lineRule="exact"/>
        <w:ind w:firstLine="640" w:firstLineChars="200"/>
        <w:jc w:val="left"/>
        <w:rPr>
          <w:rFonts w:ascii="仿宋_GB2312" w:hAnsi="仿宋_GB2312" w:eastAsia="仿宋_GB2312" w:cs="仿宋_GB2312"/>
          <w:sz w:val="32"/>
          <w:szCs w:val="32"/>
        </w:rPr>
      </w:pPr>
      <w:r>
        <w:rPr>
          <w:rFonts w:ascii="Calibri" w:hAnsi="Calibri" w:eastAsia="仿宋_GB2312" w:cs="Calibri"/>
          <w:sz w:val="32"/>
          <w:szCs w:val="32"/>
        </w:rPr>
        <w:t>                                             </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2250979"/>
    </w:sdtPr>
    <w:sdtContent>
      <w:p>
        <w:pPr>
          <w:pStyle w:val="5"/>
          <w:jc w:val="center"/>
        </w:pPr>
        <w:r>
          <w:fldChar w:fldCharType="begin"/>
        </w:r>
        <w:r>
          <w:instrText xml:space="preserve">PAGE   \* MERGEFORMAT</w:instrText>
        </w:r>
        <w:r>
          <w:fldChar w:fldCharType="separate"/>
        </w:r>
        <w:r>
          <w:rPr>
            <w:lang w:val="zh-CN"/>
          </w:rPr>
          <w:t>5</w:t>
        </w:r>
        <w:r>
          <w:fldChar w:fldCharType="end"/>
        </w:r>
      </w:p>
    </w:sdtContent>
  </w:sdt>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xMjJkNDMyNmUwZjhjOTYxMWNlMTNlNmMzYmJlOTYifQ=="/>
  </w:docVars>
  <w:rsids>
    <w:rsidRoot w:val="00C00347"/>
    <w:rsid w:val="00091EBC"/>
    <w:rsid w:val="000F1CE3"/>
    <w:rsid w:val="001677C7"/>
    <w:rsid w:val="001775A3"/>
    <w:rsid w:val="00181D44"/>
    <w:rsid w:val="001B6D4B"/>
    <w:rsid w:val="001C54A3"/>
    <w:rsid w:val="001E4C03"/>
    <w:rsid w:val="002B32F9"/>
    <w:rsid w:val="002B7E35"/>
    <w:rsid w:val="002D36AA"/>
    <w:rsid w:val="00315A60"/>
    <w:rsid w:val="003D1CEC"/>
    <w:rsid w:val="004245B6"/>
    <w:rsid w:val="004463F0"/>
    <w:rsid w:val="004541AD"/>
    <w:rsid w:val="00486A1A"/>
    <w:rsid w:val="004A4D20"/>
    <w:rsid w:val="004E2F4D"/>
    <w:rsid w:val="005338B2"/>
    <w:rsid w:val="00534318"/>
    <w:rsid w:val="00553251"/>
    <w:rsid w:val="00590619"/>
    <w:rsid w:val="0059541D"/>
    <w:rsid w:val="005C1570"/>
    <w:rsid w:val="005E4DC6"/>
    <w:rsid w:val="005F6B0E"/>
    <w:rsid w:val="006103F5"/>
    <w:rsid w:val="006239C7"/>
    <w:rsid w:val="00681C2C"/>
    <w:rsid w:val="006E1845"/>
    <w:rsid w:val="00707C31"/>
    <w:rsid w:val="0073202D"/>
    <w:rsid w:val="007A30C6"/>
    <w:rsid w:val="007A6498"/>
    <w:rsid w:val="007D5218"/>
    <w:rsid w:val="007E11EE"/>
    <w:rsid w:val="007E3BD5"/>
    <w:rsid w:val="00844EB3"/>
    <w:rsid w:val="00870E6D"/>
    <w:rsid w:val="00871150"/>
    <w:rsid w:val="0090181A"/>
    <w:rsid w:val="00941F6F"/>
    <w:rsid w:val="0095299D"/>
    <w:rsid w:val="00955FC4"/>
    <w:rsid w:val="00956D78"/>
    <w:rsid w:val="00A327AC"/>
    <w:rsid w:val="00AC2FA7"/>
    <w:rsid w:val="00B00800"/>
    <w:rsid w:val="00B13B68"/>
    <w:rsid w:val="00B74260"/>
    <w:rsid w:val="00B87BF6"/>
    <w:rsid w:val="00BB6EF4"/>
    <w:rsid w:val="00C00347"/>
    <w:rsid w:val="00C54801"/>
    <w:rsid w:val="00C56D46"/>
    <w:rsid w:val="00CB7BA2"/>
    <w:rsid w:val="00CC7DEF"/>
    <w:rsid w:val="00D6272F"/>
    <w:rsid w:val="00D931BA"/>
    <w:rsid w:val="00DB1460"/>
    <w:rsid w:val="00DB6A28"/>
    <w:rsid w:val="00DD2522"/>
    <w:rsid w:val="00DD7BEA"/>
    <w:rsid w:val="00DF17F1"/>
    <w:rsid w:val="00E03769"/>
    <w:rsid w:val="00E22A0D"/>
    <w:rsid w:val="00E3436B"/>
    <w:rsid w:val="00E43F7C"/>
    <w:rsid w:val="00E8068F"/>
    <w:rsid w:val="00EC60DB"/>
    <w:rsid w:val="00EF3F1E"/>
    <w:rsid w:val="00F044A6"/>
    <w:rsid w:val="00F063C5"/>
    <w:rsid w:val="00F07C1B"/>
    <w:rsid w:val="00F84647"/>
    <w:rsid w:val="00FD597A"/>
    <w:rsid w:val="01C21AF4"/>
    <w:rsid w:val="02C17E8D"/>
    <w:rsid w:val="058A057E"/>
    <w:rsid w:val="0BF1429D"/>
    <w:rsid w:val="16FF75D3"/>
    <w:rsid w:val="23531B69"/>
    <w:rsid w:val="32235A2F"/>
    <w:rsid w:val="374C2CAF"/>
    <w:rsid w:val="38262F51"/>
    <w:rsid w:val="459966A9"/>
    <w:rsid w:val="46024B8A"/>
    <w:rsid w:val="50AB3C52"/>
    <w:rsid w:val="52A47578"/>
    <w:rsid w:val="52CF1594"/>
    <w:rsid w:val="57AB46CD"/>
    <w:rsid w:val="5919358C"/>
    <w:rsid w:val="653C2864"/>
    <w:rsid w:val="6B346E29"/>
    <w:rsid w:val="6DDC6EB2"/>
    <w:rsid w:val="72A35F21"/>
    <w:rsid w:val="7A652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Date"/>
    <w:basedOn w:val="1"/>
    <w:next w:val="1"/>
    <w:link w:val="16"/>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5"/>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autoRedefine/>
    <w:semiHidden/>
    <w:unhideWhenUsed/>
    <w:qFormat/>
    <w:uiPriority w:val="99"/>
    <w:rPr>
      <w:color w:val="0000FF"/>
      <w:u w:val="single"/>
    </w:rPr>
  </w:style>
  <w:style w:type="character" w:styleId="12">
    <w:name w:val="annotation reference"/>
    <w:basedOn w:val="10"/>
    <w:semiHidden/>
    <w:unhideWhenUsed/>
    <w:qFormat/>
    <w:uiPriority w:val="99"/>
    <w:rPr>
      <w:sz w:val="21"/>
      <w:szCs w:val="21"/>
    </w:rPr>
  </w:style>
  <w:style w:type="character" w:customStyle="1" w:styleId="13">
    <w:name w:val="批注框文本 字符"/>
    <w:basedOn w:val="10"/>
    <w:link w:val="4"/>
    <w:semiHidden/>
    <w:qFormat/>
    <w:uiPriority w:val="99"/>
    <w:rPr>
      <w:kern w:val="2"/>
      <w:sz w:val="18"/>
      <w:szCs w:val="18"/>
    </w:rPr>
  </w:style>
  <w:style w:type="character" w:customStyle="1" w:styleId="14">
    <w:name w:val="批注文字 字符"/>
    <w:basedOn w:val="10"/>
    <w:link w:val="2"/>
    <w:semiHidden/>
    <w:qFormat/>
    <w:uiPriority w:val="99"/>
    <w:rPr>
      <w:kern w:val="2"/>
      <w:sz w:val="21"/>
      <w:szCs w:val="22"/>
    </w:rPr>
  </w:style>
  <w:style w:type="character" w:customStyle="1" w:styleId="15">
    <w:name w:val="批注主题 字符"/>
    <w:basedOn w:val="14"/>
    <w:link w:val="7"/>
    <w:autoRedefine/>
    <w:qFormat/>
    <w:uiPriority w:val="0"/>
    <w:rPr>
      <w:kern w:val="2"/>
      <w:sz w:val="21"/>
      <w:szCs w:val="22"/>
    </w:rPr>
  </w:style>
  <w:style w:type="character" w:customStyle="1" w:styleId="16">
    <w:name w:val="日期 字符"/>
    <w:basedOn w:val="10"/>
    <w:link w:val="3"/>
    <w:semiHidden/>
    <w:qFormat/>
    <w:uiPriority w:val="99"/>
    <w:rPr>
      <w:kern w:val="2"/>
      <w:sz w:val="21"/>
      <w:szCs w:val="22"/>
    </w:rPr>
  </w:style>
  <w:style w:type="character" w:customStyle="1" w:styleId="17">
    <w:name w:val="页眉 字符"/>
    <w:basedOn w:val="10"/>
    <w:link w:val="6"/>
    <w:qFormat/>
    <w:uiPriority w:val="99"/>
    <w:rPr>
      <w:kern w:val="2"/>
      <w:sz w:val="18"/>
      <w:szCs w:val="18"/>
    </w:rPr>
  </w:style>
  <w:style w:type="character" w:customStyle="1" w:styleId="18">
    <w:name w:val="页脚 字符"/>
    <w:basedOn w:val="10"/>
    <w:link w:val="5"/>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48241-EBFC-41B3-AAA4-F31025B4F0AC}">
  <ds:schemaRefs/>
</ds:datastoreItem>
</file>

<file path=docProps/app.xml><?xml version="1.0" encoding="utf-8"?>
<Properties xmlns="http://schemas.openxmlformats.org/officeDocument/2006/extended-properties" xmlns:vt="http://schemas.openxmlformats.org/officeDocument/2006/docPropsVTypes">
  <Template>Normal</Template>
  <Pages>5</Pages>
  <Words>330</Words>
  <Characters>1887</Characters>
  <Lines>15</Lines>
  <Paragraphs>4</Paragraphs>
  <TotalTime>284</TotalTime>
  <ScaleCrop>false</ScaleCrop>
  <LinksUpToDate>false</LinksUpToDate>
  <CharactersWithSpaces>2213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2024-08-12T08:22:00Z</dcterms:created>
  <dc:creator>admin</dc:creator>
  <cp:lastModifiedBy>依林</cp:lastModifiedBy>
  <dcterms:modified xsi:type="dcterms:W3CDTF">2025-04-24T08:48:16Z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DA843FCFF78F436E9B4B722E365EBCA5_13</vt:lpwstr>
  </property>
  <property fmtid="{D5CDD505-2E9C-101B-9397-08002B2CF9AE}" pid="4" name="KSOTemplateDocerSaveRecord">
    <vt:lpwstr>eyJoZGlkIjoiOGI5ODJjN2U1ZDRkMTFiYzQ1N2Q0Y2EyYmRlNTQ2MDQiLCJ1c2VySWQiOiI3MTQ3NjU3MDMifQ==</vt:lpwstr>
  </property>
</Properties>
</file>