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adjustRightInd w:val="0"/>
        <w:snapToGrid w:val="0"/>
        <w:spacing w:before="0" w:beforeAutospacing="0" w:after="0" w:afterAutospacing="0" w:line="360" w:lineRule="auto"/>
        <w:jc w:val="center"/>
        <w:rPr>
          <w:rFonts w:cs="Arial" w:asciiTheme="minorEastAsia" w:hAnsiTheme="minorEastAsia" w:eastAsiaTheme="minorEastAsia"/>
          <w:b/>
          <w:bCs/>
          <w:color w:val="333333"/>
          <w:sz w:val="28"/>
        </w:rPr>
      </w:pPr>
      <w:r>
        <w:rPr>
          <w:rFonts w:cs="Arial" w:asciiTheme="minorEastAsia" w:hAnsiTheme="minorEastAsia" w:eastAsiaTheme="minorEastAsia"/>
          <w:b/>
          <w:bCs/>
          <w:color w:val="333333"/>
          <w:sz w:val="28"/>
        </w:rPr>
        <w:t>关于办理</w:t>
      </w:r>
      <w:r>
        <w:rPr>
          <w:rFonts w:hint="eastAsia" w:cs="Arial" w:asciiTheme="minorEastAsia" w:hAnsiTheme="minorEastAsia" w:eastAsiaTheme="minorEastAsia"/>
          <w:b/>
          <w:bCs/>
          <w:color w:val="333333"/>
          <w:sz w:val="28"/>
        </w:rPr>
        <w:t>202</w:t>
      </w:r>
      <w:r>
        <w:rPr>
          <w:rFonts w:cs="Arial" w:asciiTheme="minorEastAsia" w:hAnsiTheme="minorEastAsia" w:eastAsiaTheme="minorEastAsia"/>
          <w:b/>
          <w:bCs/>
          <w:color w:val="333333"/>
          <w:sz w:val="28"/>
        </w:rPr>
        <w:t>5</w:t>
      </w:r>
      <w:r>
        <w:rPr>
          <w:rFonts w:hint="eastAsia" w:cs="Arial" w:asciiTheme="minorEastAsia" w:hAnsiTheme="minorEastAsia" w:eastAsiaTheme="minorEastAsia"/>
          <w:b/>
          <w:bCs/>
          <w:color w:val="333333"/>
          <w:sz w:val="28"/>
        </w:rPr>
        <w:t>年度第一次</w:t>
      </w:r>
      <w:r>
        <w:rPr>
          <w:rFonts w:cs="Arial" w:asciiTheme="minorEastAsia" w:hAnsiTheme="minorEastAsia" w:eastAsiaTheme="minorEastAsia"/>
          <w:b/>
          <w:bCs/>
          <w:color w:val="333333"/>
          <w:sz w:val="28"/>
        </w:rPr>
        <w:t>科研项目结题结账的通知</w:t>
      </w:r>
    </w:p>
    <w:p>
      <w:pPr>
        <w:pStyle w:val="5"/>
        <w:adjustRightInd w:val="0"/>
        <w:snapToGrid w:val="0"/>
        <w:spacing w:before="0" w:beforeAutospacing="0" w:after="0" w:afterAutospacing="0" w:line="360" w:lineRule="auto"/>
        <w:ind w:firstLine="480" w:firstLineChars="200"/>
        <w:rPr>
          <w:rFonts w:asciiTheme="minorEastAsia" w:hAnsiTheme="minorEastAsia" w:eastAsiaTheme="minorEastAsia" w:cstheme="minorBidi"/>
          <w:kern w:val="2"/>
        </w:rPr>
      </w:pPr>
      <w:r>
        <w:rPr>
          <w:rFonts w:asciiTheme="minorEastAsia" w:hAnsiTheme="minorEastAsia" w:eastAsiaTheme="minorEastAsia" w:cstheme="minorBidi"/>
          <w:kern w:val="2"/>
        </w:rPr>
        <w:t>为规范学校科研项目的结余经费管理，提高科研项目结余经费的使用效益，根据</w:t>
      </w:r>
      <w:bookmarkStart w:id="0" w:name="_Toc311825559"/>
      <w:r>
        <w:rPr>
          <w:rFonts w:asciiTheme="minorEastAsia" w:hAnsiTheme="minorEastAsia" w:eastAsiaTheme="minorEastAsia" w:cstheme="minorBidi"/>
          <w:kern w:val="2"/>
        </w:rPr>
        <w:t>《</w:t>
      </w:r>
      <w:r>
        <w:rPr>
          <w:rFonts w:hint="eastAsia" w:asciiTheme="minorEastAsia" w:hAnsiTheme="minorEastAsia" w:eastAsiaTheme="minorEastAsia" w:cstheme="minorBidi"/>
          <w:kern w:val="2"/>
        </w:rPr>
        <w:t>首都医科大学</w:t>
      </w:r>
      <w:r>
        <w:rPr>
          <w:rFonts w:asciiTheme="minorEastAsia" w:hAnsiTheme="minorEastAsia" w:eastAsiaTheme="minorEastAsia" w:cstheme="minorBidi"/>
          <w:kern w:val="2"/>
        </w:rPr>
        <w:t>结余经费管理办法》（</w:t>
      </w:r>
      <w:bookmarkEnd w:id="0"/>
      <w:r>
        <w:rPr>
          <w:rFonts w:hint="eastAsia" w:asciiTheme="minorEastAsia" w:hAnsiTheme="minorEastAsia" w:eastAsiaTheme="minorEastAsia" w:cstheme="minorBidi"/>
          <w:kern w:val="2"/>
        </w:rPr>
        <w:t>首医大校字</w:t>
      </w:r>
      <w:r>
        <w:rPr>
          <w:rFonts w:asciiTheme="minorEastAsia" w:hAnsiTheme="minorEastAsia" w:eastAsiaTheme="minorEastAsia" w:cstheme="minorBidi"/>
          <w:kern w:val="2"/>
        </w:rPr>
        <w:t>[201</w:t>
      </w:r>
      <w:r>
        <w:rPr>
          <w:rFonts w:hint="eastAsia" w:asciiTheme="minorEastAsia" w:hAnsiTheme="minorEastAsia" w:eastAsiaTheme="minorEastAsia" w:cstheme="minorBidi"/>
          <w:kern w:val="2"/>
        </w:rPr>
        <w:t>6</w:t>
      </w:r>
      <w:r>
        <w:rPr>
          <w:rFonts w:asciiTheme="minorEastAsia" w:hAnsiTheme="minorEastAsia" w:eastAsiaTheme="minorEastAsia" w:cstheme="minorBidi"/>
          <w:kern w:val="2"/>
        </w:rPr>
        <w:t>]</w:t>
      </w:r>
      <w:r>
        <w:rPr>
          <w:rFonts w:hint="eastAsia" w:asciiTheme="minorEastAsia" w:hAnsiTheme="minorEastAsia" w:eastAsiaTheme="minorEastAsia" w:cstheme="minorBidi"/>
          <w:kern w:val="2"/>
        </w:rPr>
        <w:t>265</w:t>
      </w:r>
      <w:r>
        <w:rPr>
          <w:rFonts w:asciiTheme="minorEastAsia" w:hAnsiTheme="minorEastAsia" w:eastAsiaTheme="minorEastAsia" w:cstheme="minorBidi"/>
          <w:kern w:val="2"/>
        </w:rPr>
        <w:t>号）相关规定，现决定</w:t>
      </w:r>
      <w:r>
        <w:rPr>
          <w:rFonts w:hint="eastAsia" w:asciiTheme="minorEastAsia" w:hAnsiTheme="minorEastAsia" w:eastAsiaTheme="minorEastAsia" w:cstheme="minorBidi"/>
          <w:kern w:val="2"/>
        </w:rPr>
        <w:t>对已结题的纵向科研项目、政府委托项目、非企业委托横向科研项目进行</w:t>
      </w:r>
      <w:r>
        <w:rPr>
          <w:rFonts w:asciiTheme="minorEastAsia" w:hAnsiTheme="minorEastAsia" w:eastAsiaTheme="minorEastAsia" w:cstheme="minorBidi"/>
          <w:kern w:val="2"/>
        </w:rPr>
        <w:t>结题结账工作</w:t>
      </w:r>
      <w:r>
        <w:rPr>
          <w:rFonts w:hint="eastAsia" w:asciiTheme="minorEastAsia" w:hAnsiTheme="minorEastAsia" w:eastAsiaTheme="minorEastAsia" w:cstheme="minorBidi"/>
          <w:kern w:val="2"/>
          <w:u w:val="single"/>
        </w:rPr>
        <w:t>（注：企业委托横向科研项目已经移交成果转化部管理）</w:t>
      </w:r>
      <w:r>
        <w:rPr>
          <w:rFonts w:asciiTheme="minorEastAsia" w:hAnsiTheme="minorEastAsia" w:eastAsiaTheme="minorEastAsia" w:cstheme="minorBidi"/>
          <w:kern w:val="2"/>
        </w:rPr>
        <w:t>，现将有关事项通知如下：</w:t>
      </w:r>
    </w:p>
    <w:p>
      <w:pPr>
        <w:adjustRightInd w:val="0"/>
        <w:snapToGrid w:val="0"/>
        <w:spacing w:before="156" w:beforeLines="50" w:after="156" w:afterLines="50" w:line="360" w:lineRule="auto"/>
        <w:rPr>
          <w:rFonts w:asciiTheme="minorEastAsia" w:hAnsiTheme="minorEastAsia"/>
          <w:b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一、结题结账要求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项目负责人已经通过校科技处向项目来源单位提交</w:t>
      </w:r>
      <w:bookmarkStart w:id="1" w:name="_GoBack"/>
      <w:bookmarkEnd w:id="1"/>
      <w:r>
        <w:rPr>
          <w:rFonts w:hint="eastAsia" w:asciiTheme="minorEastAsia" w:hAnsiTheme="minorEastAsia"/>
          <w:sz w:val="24"/>
          <w:szCs w:val="24"/>
        </w:rPr>
        <w:t>结题报告，且已由项目来源单位审核通过或确认研究任务已完成的</w:t>
      </w:r>
      <w:r>
        <w:rPr>
          <w:rFonts w:asciiTheme="minorEastAsia" w:hAnsiTheme="minorEastAsia"/>
          <w:sz w:val="24"/>
          <w:szCs w:val="24"/>
        </w:rPr>
        <w:t>项目可以办理结题结账手续</w:t>
      </w:r>
      <w:r>
        <w:rPr>
          <w:rFonts w:hint="eastAsia" w:asciiTheme="minorEastAsia" w:hAnsiTheme="minorEastAsia"/>
          <w:sz w:val="24"/>
          <w:szCs w:val="24"/>
        </w:rPr>
        <w:t>。</w:t>
      </w:r>
      <w:r>
        <w:rPr>
          <w:rFonts w:asciiTheme="minorEastAsia" w:hAnsiTheme="minorEastAsia"/>
          <w:sz w:val="24"/>
          <w:szCs w:val="24"/>
        </w:rPr>
        <w:t>剩余项目经费将</w:t>
      </w:r>
      <w:r>
        <w:rPr>
          <w:rFonts w:hint="eastAsia" w:asciiTheme="minorEastAsia" w:hAnsiTheme="minorEastAsia"/>
          <w:sz w:val="24"/>
          <w:szCs w:val="24"/>
        </w:rPr>
        <w:t>转入项目负责人“科研发展基金经费卡”。</w:t>
      </w:r>
    </w:p>
    <w:p>
      <w:pPr>
        <w:adjustRightInd w:val="0"/>
        <w:snapToGrid w:val="0"/>
        <w:spacing w:before="156" w:beforeLines="50" w:after="156" w:afterLines="50" w:line="360" w:lineRule="auto"/>
        <w:rPr>
          <w:rFonts w:asciiTheme="minorEastAsia" w:hAnsiTheme="minorEastAsia"/>
          <w:b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二、上交材料</w:t>
      </w:r>
      <w:r>
        <w:rPr>
          <w:rFonts w:asciiTheme="minorEastAsia" w:hAnsiTheme="minorEastAsia"/>
          <w:b/>
          <w:sz w:val="24"/>
          <w:szCs w:val="24"/>
        </w:rPr>
        <w:t>要求及</w:t>
      </w:r>
      <w:r>
        <w:rPr>
          <w:rFonts w:hint="eastAsia" w:asciiTheme="minorEastAsia" w:hAnsiTheme="minorEastAsia"/>
          <w:b/>
          <w:sz w:val="24"/>
          <w:szCs w:val="24"/>
        </w:rPr>
        <w:t>截止时间</w:t>
      </w:r>
    </w:p>
    <w:p>
      <w:pPr>
        <w:pStyle w:val="5"/>
        <w:adjustRightInd w:val="0"/>
        <w:snapToGrid w:val="0"/>
        <w:spacing w:before="0" w:beforeAutospacing="0" w:after="0" w:afterAutospacing="0" w:line="360" w:lineRule="auto"/>
        <w:ind w:firstLine="420"/>
        <w:rPr>
          <w:rFonts w:asciiTheme="minorEastAsia" w:hAnsiTheme="minorEastAsia" w:eastAsiaTheme="minorEastAsia" w:cstheme="minorBidi"/>
          <w:b/>
          <w:kern w:val="2"/>
          <w:u w:val="single"/>
        </w:rPr>
      </w:pPr>
      <w:r>
        <w:rPr>
          <w:rFonts w:hint="eastAsia" w:asciiTheme="minorEastAsia" w:hAnsiTheme="minorEastAsia" w:eastAsiaTheme="minorEastAsia" w:cstheme="minorBidi"/>
          <w:kern w:val="2"/>
        </w:rPr>
        <w:t>项目负责人可同时办理多个类别多个项目的结题结账手续。每办理一个项目的结题结账手续，应填写相应《结账申请表》（附件1）一式一份并按要求提供附件材料。</w:t>
      </w:r>
    </w:p>
    <w:p>
      <w:pPr>
        <w:pStyle w:val="5"/>
        <w:adjustRightInd w:val="0"/>
        <w:snapToGrid w:val="0"/>
        <w:spacing w:before="0" w:beforeAutospacing="0" w:after="0" w:afterAutospacing="0" w:line="360" w:lineRule="auto"/>
        <w:ind w:firstLine="420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各学院负责收集本学院项目负责人结题结账材料（包括《结账申请表》及附件）并进行初步审核。审核通过后，由学院统一报送至校科技处，学院应同时上交《学院承诺书》一式一份。校科技处不接收项目负责人单独上交的结题结账材料。</w:t>
      </w:r>
    </w:p>
    <w:p>
      <w:pPr>
        <w:pStyle w:val="5"/>
        <w:adjustRightInd w:val="0"/>
        <w:snapToGrid w:val="0"/>
        <w:spacing w:before="0" w:beforeAutospacing="0" w:after="0" w:afterAutospacing="0" w:line="360" w:lineRule="auto"/>
        <w:ind w:firstLine="422"/>
        <w:rPr>
          <w:rFonts w:asciiTheme="minorEastAsia" w:hAnsiTheme="minorEastAsia" w:eastAsiaTheme="minorEastAsia" w:cstheme="minorBidi"/>
          <w:kern w:val="2"/>
        </w:rPr>
      </w:pPr>
    </w:p>
    <w:p>
      <w:pPr>
        <w:pStyle w:val="5"/>
        <w:adjustRightInd w:val="0"/>
        <w:snapToGrid w:val="0"/>
        <w:spacing w:before="0" w:beforeAutospacing="0" w:after="0" w:afterAutospacing="0" w:line="360" w:lineRule="auto"/>
        <w:ind w:firstLine="422"/>
        <w:rPr>
          <w:rFonts w:asciiTheme="minorEastAsia" w:hAnsiTheme="minorEastAsia" w:eastAsiaTheme="minorEastAsia" w:cstheme="minorBidi"/>
          <w:kern w:val="2"/>
        </w:rPr>
      </w:pPr>
      <w:r>
        <w:rPr>
          <w:rFonts w:hint="eastAsia" w:asciiTheme="minorEastAsia" w:hAnsiTheme="minorEastAsia" w:eastAsiaTheme="minorEastAsia" w:cstheme="minorBidi"/>
          <w:kern w:val="2"/>
        </w:rPr>
        <w:t>学院提交科技处审核的截止日期为：</w:t>
      </w:r>
      <w:r>
        <w:rPr>
          <w:rFonts w:hint="eastAsia" w:asciiTheme="minorEastAsia" w:hAnsiTheme="minorEastAsia" w:eastAsiaTheme="minorEastAsia" w:cstheme="minorBidi"/>
          <w:b/>
          <w:kern w:val="2"/>
          <w:u w:val="single"/>
        </w:rPr>
        <w:t>202</w:t>
      </w:r>
      <w:r>
        <w:rPr>
          <w:rFonts w:asciiTheme="minorEastAsia" w:hAnsiTheme="minorEastAsia" w:eastAsiaTheme="minorEastAsia" w:cstheme="minorBidi"/>
          <w:b/>
          <w:kern w:val="2"/>
          <w:u w:val="single"/>
        </w:rPr>
        <w:t>5</w:t>
      </w:r>
      <w:r>
        <w:rPr>
          <w:rFonts w:hint="eastAsia" w:asciiTheme="minorEastAsia" w:hAnsiTheme="minorEastAsia" w:eastAsiaTheme="minorEastAsia" w:cstheme="minorBidi"/>
          <w:b/>
          <w:kern w:val="2"/>
          <w:u w:val="single"/>
        </w:rPr>
        <w:t>年</w:t>
      </w:r>
      <w:r>
        <w:rPr>
          <w:rFonts w:asciiTheme="minorEastAsia" w:hAnsiTheme="minorEastAsia" w:eastAsiaTheme="minorEastAsia" w:cstheme="minorBidi"/>
          <w:b/>
          <w:kern w:val="2"/>
          <w:u w:val="single"/>
        </w:rPr>
        <w:t>4</w:t>
      </w:r>
      <w:r>
        <w:rPr>
          <w:rFonts w:hint="eastAsia" w:asciiTheme="minorEastAsia" w:hAnsiTheme="minorEastAsia" w:eastAsiaTheme="minorEastAsia" w:cstheme="minorBidi"/>
          <w:b/>
          <w:kern w:val="2"/>
          <w:u w:val="single"/>
        </w:rPr>
        <w:t>月</w:t>
      </w:r>
      <w:r>
        <w:rPr>
          <w:rFonts w:asciiTheme="minorEastAsia" w:hAnsiTheme="minorEastAsia" w:eastAsiaTheme="minorEastAsia" w:cstheme="minorBidi"/>
          <w:b/>
          <w:kern w:val="2"/>
          <w:u w:val="single"/>
        </w:rPr>
        <w:t>3</w:t>
      </w:r>
      <w:r>
        <w:rPr>
          <w:rFonts w:hint="eastAsia" w:asciiTheme="minorEastAsia" w:hAnsiTheme="minorEastAsia" w:eastAsiaTheme="minorEastAsia" w:cstheme="minorBidi"/>
          <w:b/>
          <w:kern w:val="2"/>
          <w:u w:val="single"/>
        </w:rPr>
        <w:t>日</w:t>
      </w:r>
      <w:r>
        <w:rPr>
          <w:rFonts w:hint="eastAsia" w:asciiTheme="minorEastAsia" w:hAnsiTheme="minorEastAsia" w:eastAsiaTheme="minorEastAsia" w:cstheme="minorBidi"/>
          <w:kern w:val="2"/>
        </w:rPr>
        <w:t>。</w:t>
      </w:r>
    </w:p>
    <w:p>
      <w:pPr>
        <w:pStyle w:val="5"/>
        <w:adjustRightInd w:val="0"/>
        <w:snapToGrid w:val="0"/>
        <w:spacing w:before="0" w:beforeAutospacing="0" w:after="0" w:afterAutospacing="0" w:line="360" w:lineRule="auto"/>
        <w:ind w:firstLine="422"/>
        <w:rPr>
          <w:rFonts w:asciiTheme="minorEastAsia" w:hAnsiTheme="minorEastAsia" w:eastAsiaTheme="minorEastAsia" w:cstheme="minorBidi"/>
          <w:kern w:val="2"/>
        </w:rPr>
      </w:pPr>
    </w:p>
    <w:p>
      <w:pPr>
        <w:pStyle w:val="5"/>
        <w:adjustRightInd w:val="0"/>
        <w:snapToGrid w:val="0"/>
        <w:spacing w:before="0" w:beforeAutospacing="0" w:after="0" w:afterAutospacing="0" w:line="360" w:lineRule="auto"/>
        <w:ind w:firstLine="422"/>
        <w:rPr>
          <w:rFonts w:asciiTheme="minorEastAsia" w:hAnsiTheme="minorEastAsia" w:eastAsiaTheme="minorEastAsia" w:cstheme="minorBidi"/>
          <w:kern w:val="2"/>
        </w:rPr>
      </w:pPr>
      <w:r>
        <w:rPr>
          <w:rFonts w:hint="eastAsia" w:asciiTheme="minorEastAsia" w:hAnsiTheme="minorEastAsia" w:eastAsiaTheme="minorEastAsia" w:cstheme="minorBidi"/>
          <w:kern w:val="2"/>
        </w:rPr>
        <w:t>校科技处联系人：马子寅   联系电话： 83911936</w:t>
      </w:r>
    </w:p>
    <w:p>
      <w:pPr>
        <w:pStyle w:val="5"/>
        <w:adjustRightInd w:val="0"/>
        <w:snapToGrid w:val="0"/>
        <w:spacing w:before="0" w:beforeAutospacing="0" w:after="0" w:afterAutospacing="0" w:line="360" w:lineRule="auto"/>
        <w:ind w:firstLine="422"/>
        <w:rPr>
          <w:rFonts w:asciiTheme="minorEastAsia" w:hAnsiTheme="minorEastAsia" w:eastAsiaTheme="minorEastAsia" w:cstheme="minorBidi"/>
          <w:kern w:val="2"/>
        </w:rPr>
      </w:pPr>
    </w:p>
    <w:p>
      <w:pPr>
        <w:pStyle w:val="5"/>
        <w:adjustRightInd w:val="0"/>
        <w:snapToGrid w:val="0"/>
        <w:spacing w:before="0" w:beforeAutospacing="0" w:after="0" w:afterAutospacing="0" w:line="360" w:lineRule="auto"/>
        <w:ind w:firstLine="422"/>
        <w:rPr>
          <w:rFonts w:asciiTheme="minorEastAsia" w:hAnsiTheme="minorEastAsia" w:eastAsiaTheme="minorEastAsia" w:cstheme="minorBidi"/>
          <w:kern w:val="2"/>
        </w:rPr>
      </w:pPr>
    </w:p>
    <w:p>
      <w:pPr>
        <w:widowControl/>
        <w:adjustRightInd w:val="0"/>
        <w:snapToGrid w:val="0"/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附件1：结题结账申请表</w:t>
      </w:r>
    </w:p>
    <w:p>
      <w:pPr>
        <w:widowControl/>
        <w:adjustRightInd w:val="0"/>
        <w:snapToGrid w:val="0"/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附件2：首都医科大学政府委托项目、非企业委托横向项目结题报告书</w:t>
      </w:r>
    </w:p>
    <w:p>
      <w:pPr>
        <w:widowControl/>
        <w:adjustRightInd w:val="0"/>
        <w:snapToGrid w:val="0"/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附件3：科研项目结题结账-学院承诺书</w:t>
      </w:r>
    </w:p>
    <w:p>
      <w:pPr>
        <w:widowControl/>
        <w:adjustRightInd w:val="0"/>
        <w:snapToGrid w:val="0"/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附件</w:t>
      </w:r>
      <w:r>
        <w:rPr>
          <w:rFonts w:asciiTheme="minorEastAsia" w:hAnsiTheme="minorEastAsia"/>
          <w:sz w:val="24"/>
          <w:szCs w:val="24"/>
        </w:rPr>
        <w:t>4</w:t>
      </w:r>
      <w:r>
        <w:rPr>
          <w:rFonts w:hint="eastAsia" w:asciiTheme="minorEastAsia" w:hAnsiTheme="minorEastAsia"/>
          <w:sz w:val="24"/>
          <w:szCs w:val="24"/>
        </w:rPr>
        <w:t>：</w:t>
      </w:r>
      <w:r>
        <w:rPr>
          <w:rFonts w:asciiTheme="minorEastAsia" w:hAnsiTheme="minorEastAsia"/>
          <w:sz w:val="24"/>
          <w:szCs w:val="24"/>
        </w:rPr>
        <w:t>《</w:t>
      </w:r>
      <w:r>
        <w:rPr>
          <w:rFonts w:hint="eastAsia" w:asciiTheme="minorEastAsia" w:hAnsiTheme="minorEastAsia"/>
          <w:sz w:val="24"/>
          <w:szCs w:val="24"/>
        </w:rPr>
        <w:t>首都医科大学</w:t>
      </w:r>
      <w:r>
        <w:rPr>
          <w:rFonts w:asciiTheme="minorEastAsia" w:hAnsiTheme="minorEastAsia"/>
          <w:sz w:val="24"/>
          <w:szCs w:val="24"/>
        </w:rPr>
        <w:t>结余经费管理办法》（</w:t>
      </w:r>
      <w:r>
        <w:rPr>
          <w:rFonts w:hint="eastAsia" w:asciiTheme="minorEastAsia" w:hAnsiTheme="minorEastAsia"/>
          <w:sz w:val="24"/>
          <w:szCs w:val="24"/>
        </w:rPr>
        <w:t>首医大校字</w:t>
      </w:r>
      <w:r>
        <w:rPr>
          <w:rFonts w:asciiTheme="minorEastAsia" w:hAnsiTheme="minorEastAsia"/>
          <w:sz w:val="24"/>
          <w:szCs w:val="24"/>
        </w:rPr>
        <w:t>[201</w:t>
      </w:r>
      <w:r>
        <w:rPr>
          <w:rFonts w:hint="eastAsia" w:asciiTheme="minorEastAsia" w:hAnsiTheme="minorEastAsia"/>
          <w:sz w:val="24"/>
          <w:szCs w:val="24"/>
        </w:rPr>
        <w:t>6</w:t>
      </w:r>
      <w:r>
        <w:rPr>
          <w:rFonts w:asciiTheme="minorEastAsia" w:hAnsiTheme="minorEastAsia"/>
          <w:sz w:val="24"/>
          <w:szCs w:val="24"/>
        </w:rPr>
        <w:t>]</w:t>
      </w:r>
      <w:r>
        <w:rPr>
          <w:rFonts w:hint="eastAsia" w:asciiTheme="minorEastAsia" w:hAnsiTheme="minorEastAsia"/>
          <w:sz w:val="24"/>
          <w:szCs w:val="24"/>
        </w:rPr>
        <w:t>265</w:t>
      </w:r>
      <w:r>
        <w:rPr>
          <w:rFonts w:asciiTheme="minorEastAsia" w:hAnsiTheme="minorEastAsia"/>
          <w:sz w:val="24"/>
          <w:szCs w:val="24"/>
        </w:rPr>
        <w:t>号）</w:t>
      </w:r>
    </w:p>
    <w:p>
      <w:pPr>
        <w:widowControl/>
        <w:adjustRightInd w:val="0"/>
        <w:snapToGrid w:val="0"/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附件</w:t>
      </w:r>
      <w:r>
        <w:rPr>
          <w:rFonts w:asciiTheme="minorEastAsia" w:hAnsiTheme="minorEastAsia"/>
          <w:sz w:val="24"/>
          <w:szCs w:val="24"/>
        </w:rPr>
        <w:t>5</w:t>
      </w:r>
      <w:r>
        <w:rPr>
          <w:rFonts w:hint="eastAsia" w:asciiTheme="minorEastAsia" w:hAnsiTheme="minorEastAsia"/>
          <w:sz w:val="24"/>
          <w:szCs w:val="24"/>
        </w:rPr>
        <w:t>：《首都医科大学纵向科研项目经费管理办法（修订）》(校字〔2021〕181号)</w:t>
      </w:r>
    </w:p>
    <w:p>
      <w:pPr>
        <w:widowControl/>
        <w:adjustRightInd w:val="0"/>
        <w:snapToGrid w:val="0"/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附件</w:t>
      </w:r>
      <w:r>
        <w:rPr>
          <w:rFonts w:asciiTheme="minorEastAsia" w:hAnsiTheme="minorEastAsia"/>
          <w:sz w:val="24"/>
          <w:szCs w:val="24"/>
        </w:rPr>
        <w:t>6</w:t>
      </w:r>
      <w:r>
        <w:rPr>
          <w:rFonts w:hint="eastAsia" w:asciiTheme="minorEastAsia" w:hAnsiTheme="minorEastAsia"/>
          <w:sz w:val="24"/>
          <w:szCs w:val="24"/>
        </w:rPr>
        <w:t>：《首都医科大学科研项目间接费用管理规定（修订）》(校字〔2021〕182号)</w:t>
      </w:r>
    </w:p>
    <w:p>
      <w:pPr>
        <w:widowControl/>
        <w:adjustRightInd w:val="0"/>
        <w:snapToGrid w:val="0"/>
        <w:spacing w:line="360" w:lineRule="auto"/>
        <w:jc w:val="left"/>
        <w:rPr>
          <w:rFonts w:asciiTheme="minorEastAsia" w:hAnsiTheme="minorEastAsia"/>
          <w:sz w:val="24"/>
          <w:szCs w:val="24"/>
        </w:rPr>
      </w:pPr>
    </w:p>
    <w:p>
      <w:pPr>
        <w:widowControl/>
        <w:adjustRightInd w:val="0"/>
        <w:snapToGrid w:val="0"/>
        <w:spacing w:line="360" w:lineRule="auto"/>
        <w:jc w:val="righ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科技处</w:t>
      </w:r>
    </w:p>
    <w:p>
      <w:pPr>
        <w:widowControl/>
        <w:adjustRightInd w:val="0"/>
        <w:snapToGrid w:val="0"/>
        <w:spacing w:line="360" w:lineRule="auto"/>
        <w:jc w:val="righ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202</w:t>
      </w:r>
      <w:r>
        <w:rPr>
          <w:rFonts w:asciiTheme="minorEastAsia" w:hAnsiTheme="minorEastAsia"/>
          <w:sz w:val="24"/>
          <w:szCs w:val="24"/>
        </w:rPr>
        <w:t>5</w:t>
      </w:r>
      <w:r>
        <w:rPr>
          <w:rFonts w:hint="eastAsia" w:asciiTheme="minorEastAsia" w:hAnsiTheme="minorEastAsia"/>
          <w:sz w:val="24"/>
          <w:szCs w:val="24"/>
        </w:rPr>
        <w:t>年</w:t>
      </w:r>
      <w:r>
        <w:rPr>
          <w:rFonts w:asciiTheme="minorEastAsia" w:hAnsiTheme="minorEastAsia"/>
          <w:sz w:val="24"/>
          <w:szCs w:val="24"/>
        </w:rPr>
        <w:t>3</w:t>
      </w:r>
      <w:r>
        <w:rPr>
          <w:rFonts w:hint="eastAsia" w:asciiTheme="minorEastAsia" w:hAnsiTheme="minorEastAsia"/>
          <w:sz w:val="24"/>
          <w:szCs w:val="24"/>
        </w:rPr>
        <w:t>月2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/>
          <w:sz w:val="24"/>
          <w:szCs w:val="24"/>
        </w:rPr>
        <w:t>日</w:t>
      </w:r>
    </w:p>
    <w:p>
      <w:pPr>
        <w:widowControl/>
        <w:adjustRightInd w:val="0"/>
        <w:snapToGrid w:val="0"/>
        <w:spacing w:line="360" w:lineRule="auto"/>
        <w:jc w:val="left"/>
        <w:rPr>
          <w:rFonts w:asciiTheme="minorEastAsia" w:hAnsiTheme="minorEastAsia"/>
          <w:sz w:val="24"/>
          <w:szCs w:val="24"/>
        </w:rPr>
      </w:pPr>
    </w:p>
    <w:p>
      <w:pPr>
        <w:widowControl/>
        <w:adjustRightInd w:val="0"/>
        <w:snapToGrid w:val="0"/>
        <w:spacing w:line="360" w:lineRule="auto"/>
        <w:ind w:firstLine="482" w:firstLineChars="200"/>
        <w:jc w:val="left"/>
        <w:rPr>
          <w:rFonts w:asciiTheme="minorEastAsia" w:hAnsiTheme="minorEastAsia"/>
          <w:b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附</w:t>
      </w:r>
      <w:r>
        <w:rPr>
          <w:rFonts w:asciiTheme="minorEastAsia" w:hAnsiTheme="minorEastAsia"/>
          <w:b/>
          <w:sz w:val="24"/>
          <w:szCs w:val="24"/>
        </w:rPr>
        <w:t>：</w:t>
      </w:r>
      <w:r>
        <w:rPr>
          <w:rFonts w:hint="eastAsia" w:asciiTheme="minorEastAsia" w:hAnsiTheme="minorEastAsia"/>
          <w:b/>
          <w:sz w:val="24"/>
          <w:szCs w:val="24"/>
        </w:rPr>
        <w:t xml:space="preserve"> </w:t>
      </w:r>
    </w:p>
    <w:p>
      <w:pPr>
        <w:adjustRightInd w:val="0"/>
        <w:snapToGrid w:val="0"/>
        <w:spacing w:line="360" w:lineRule="auto"/>
        <w:ind w:firstLine="482" w:firstLineChars="200"/>
        <w:rPr>
          <w:rFonts w:asciiTheme="minorEastAsia" w:hAnsiTheme="minorEastAsia"/>
          <w:b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一、各类</w:t>
      </w:r>
      <w:r>
        <w:rPr>
          <w:rFonts w:asciiTheme="minorEastAsia" w:hAnsiTheme="minorEastAsia"/>
          <w:b/>
          <w:sz w:val="24"/>
          <w:szCs w:val="24"/>
        </w:rPr>
        <w:t>科研项目定义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纵向科研项目指各级政府及部门批准立项并拨款的科研项目。例如科技部、国自然基金委、国家社科办、市科委、市自然基金委、市社科办等。学校作为项目合作单位承担的上述来源的项目，由项目承担单位转拨到学校的合作经费，按照纵向科研项目经费管理。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政府委托项目指我校科研人员接受中央部委、地方政府委托进行的技术开发、技术咨询、技术服务和政策研究、调研等科学研究项目。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非企业委托横向科研项目指由非企业单位委托我校进行的技术开发、技术咨询、技术服务（含测试化验加工）和政策研究、调研等科学研究项目。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</w:p>
    <w:p>
      <w:pPr>
        <w:adjustRightInd w:val="0"/>
        <w:snapToGrid w:val="0"/>
        <w:spacing w:line="360" w:lineRule="auto"/>
        <w:ind w:firstLine="482" w:firstLineChars="200"/>
        <w:rPr>
          <w:rFonts w:asciiTheme="minorEastAsia" w:hAnsiTheme="minorEastAsia"/>
          <w:b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二、需说明的事项</w:t>
      </w:r>
    </w:p>
    <w:p>
      <w:pPr>
        <w:pStyle w:val="5"/>
        <w:adjustRightInd w:val="0"/>
        <w:snapToGrid w:val="0"/>
        <w:spacing w:before="0" w:beforeAutospacing="0" w:after="0" w:afterAutospacing="0" w:line="360" w:lineRule="auto"/>
        <w:ind w:firstLine="424" w:firstLineChars="177"/>
        <w:rPr>
          <w:rFonts w:asciiTheme="minorEastAsia" w:hAnsiTheme="minorEastAsia" w:eastAsiaTheme="minorEastAsia" w:cstheme="minorBidi"/>
          <w:kern w:val="2"/>
        </w:rPr>
      </w:pPr>
      <w:r>
        <w:rPr>
          <w:rFonts w:hint="eastAsia" w:asciiTheme="minorEastAsia" w:hAnsiTheme="minorEastAsia" w:eastAsiaTheme="minorEastAsia" w:cstheme="minorBidi"/>
          <w:kern w:val="2"/>
        </w:rPr>
        <w:t>1、本通知仅适用于校科技处主管的科研项目。其他部门主管的项目请联系相应主管部门办理。</w:t>
      </w:r>
    </w:p>
    <w:p>
      <w:pPr>
        <w:pStyle w:val="5"/>
        <w:adjustRightInd w:val="0"/>
        <w:snapToGrid w:val="0"/>
        <w:spacing w:before="0" w:beforeAutospacing="0" w:after="0" w:afterAutospacing="0" w:line="360" w:lineRule="auto"/>
        <w:ind w:firstLine="426" w:firstLineChars="177"/>
        <w:rPr>
          <w:rFonts w:asciiTheme="minorEastAsia" w:hAnsiTheme="minorEastAsia" w:eastAsiaTheme="minorEastAsia" w:cstheme="minorBidi"/>
          <w:b/>
          <w:kern w:val="2"/>
        </w:rPr>
      </w:pPr>
      <w:r>
        <w:rPr>
          <w:rFonts w:hint="eastAsia" w:asciiTheme="minorEastAsia" w:hAnsiTheme="minorEastAsia" w:eastAsiaTheme="minorEastAsia" w:cstheme="minorBidi"/>
          <w:b/>
          <w:kern w:val="2"/>
        </w:rPr>
        <w:t>2、本次结题结转，暂不接收将项目经费结转至他人名下的申请。该类申请结转要求将另行通知。</w:t>
      </w:r>
    </w:p>
    <w:p>
      <w:pPr>
        <w:pStyle w:val="5"/>
        <w:adjustRightInd w:val="0"/>
        <w:snapToGrid w:val="0"/>
        <w:spacing w:before="0" w:beforeAutospacing="0" w:after="0" w:afterAutospacing="0" w:line="360" w:lineRule="auto"/>
        <w:ind w:firstLine="426" w:firstLineChars="177"/>
        <w:rPr>
          <w:rFonts w:asciiTheme="minorEastAsia" w:hAnsiTheme="minorEastAsia" w:eastAsiaTheme="minorEastAsia" w:cstheme="minorBidi"/>
          <w:b/>
          <w:kern w:val="2"/>
        </w:rPr>
      </w:pPr>
      <w:r>
        <w:rPr>
          <w:rFonts w:asciiTheme="minorEastAsia" w:hAnsiTheme="minorEastAsia" w:eastAsiaTheme="minorEastAsia" w:cstheme="minorBidi"/>
          <w:b/>
          <w:kern w:val="2"/>
        </w:rPr>
        <w:t>3</w:t>
      </w:r>
      <w:r>
        <w:rPr>
          <w:rFonts w:hint="eastAsia" w:asciiTheme="minorEastAsia" w:hAnsiTheme="minorEastAsia" w:eastAsiaTheme="minorEastAsia" w:cstheme="minorBidi"/>
          <w:b/>
          <w:kern w:val="2"/>
        </w:rPr>
        <w:t>、科研项目间接经费不参与结题结转，具体结转要求将另行通知。</w:t>
      </w:r>
    </w:p>
    <w:p>
      <w:pPr>
        <w:pStyle w:val="5"/>
        <w:adjustRightInd w:val="0"/>
        <w:snapToGrid w:val="0"/>
        <w:spacing w:before="0" w:beforeAutospacing="0" w:after="0" w:afterAutospacing="0" w:line="360" w:lineRule="auto"/>
        <w:ind w:firstLine="424" w:firstLineChars="177"/>
        <w:rPr>
          <w:rFonts w:asciiTheme="minorEastAsia" w:hAnsiTheme="minorEastAsia" w:eastAsiaTheme="minorEastAsia" w:cstheme="minorBidi"/>
          <w:kern w:val="2"/>
        </w:rPr>
      </w:pPr>
      <w:r>
        <w:rPr>
          <w:rFonts w:asciiTheme="minorEastAsia" w:hAnsiTheme="minorEastAsia" w:eastAsiaTheme="minorEastAsia" w:cstheme="minorBidi"/>
          <w:kern w:val="2"/>
        </w:rPr>
        <w:t>4</w:t>
      </w:r>
      <w:r>
        <w:rPr>
          <w:rFonts w:hint="eastAsia" w:asciiTheme="minorEastAsia" w:hAnsiTheme="minorEastAsia" w:eastAsiaTheme="minorEastAsia" w:cstheme="minorBidi"/>
          <w:kern w:val="2"/>
        </w:rPr>
        <w:t>、</w:t>
      </w:r>
      <w:r>
        <w:rPr>
          <w:rFonts w:asciiTheme="minorEastAsia" w:hAnsiTheme="minorEastAsia" w:eastAsiaTheme="minorEastAsia" w:cstheme="minorBidi"/>
          <w:kern w:val="2"/>
        </w:rPr>
        <w:t>项目负责人</w:t>
      </w:r>
      <w:r>
        <w:rPr>
          <w:rFonts w:hint="eastAsia" w:asciiTheme="minorEastAsia" w:hAnsiTheme="minorEastAsia" w:eastAsiaTheme="minorEastAsia" w:cstheme="minorBidi"/>
          <w:kern w:val="2"/>
        </w:rPr>
        <w:t>应在办理结题结账手续前</w:t>
      </w:r>
      <w:r>
        <w:rPr>
          <w:rFonts w:asciiTheme="minorEastAsia" w:hAnsiTheme="minorEastAsia" w:eastAsiaTheme="minorEastAsia" w:cstheme="minorBidi"/>
          <w:kern w:val="2"/>
        </w:rPr>
        <w:t>全面清理经费收支和应收应付款项，暂付款尚未结清的，应在结账之前全部报销或归还。</w:t>
      </w:r>
      <w:r>
        <w:rPr>
          <w:rFonts w:hint="eastAsia" w:asciiTheme="minorEastAsia" w:hAnsiTheme="minorEastAsia" w:eastAsiaTheme="minorEastAsia" w:cstheme="minorBidi"/>
          <w:kern w:val="2"/>
        </w:rPr>
        <w:t>在办理经费结转手续过程中，应暂停该经费卡使用。</w:t>
      </w:r>
    </w:p>
    <w:p>
      <w:pPr>
        <w:adjustRightInd w:val="0"/>
        <w:snapToGrid w:val="0"/>
        <w:spacing w:line="360" w:lineRule="auto"/>
        <w:ind w:firstLine="424" w:firstLineChars="177"/>
        <w:rPr>
          <w:rFonts w:asciiTheme="minorEastAsia" w:hAnsiTheme="minorEastAsia"/>
          <w:b/>
          <w:color w:val="000000" w:themeColor="text1"/>
          <w:sz w:val="24"/>
          <w:szCs w:val="24"/>
        </w:rPr>
      </w:pPr>
      <w:r>
        <w:rPr>
          <w:rFonts w:asciiTheme="minorEastAsia" w:hAnsiTheme="minorEastAsia"/>
          <w:color w:val="000000" w:themeColor="text1"/>
          <w:sz w:val="24"/>
          <w:szCs w:val="24"/>
        </w:rPr>
        <w:t>5</w:t>
      </w:r>
      <w:r>
        <w:rPr>
          <w:rFonts w:hint="eastAsia" w:asciiTheme="minorEastAsia" w:hAnsiTheme="minorEastAsia"/>
          <w:color w:val="000000" w:themeColor="text1"/>
          <w:sz w:val="24"/>
          <w:szCs w:val="24"/>
        </w:rPr>
        <w:t>、</w:t>
      </w:r>
      <w:r>
        <w:rPr>
          <w:rFonts w:hint="eastAsia" w:asciiTheme="minorEastAsia" w:hAnsiTheme="minorEastAsia"/>
          <w:b/>
          <w:color w:val="000000" w:themeColor="text1"/>
          <w:sz w:val="24"/>
          <w:szCs w:val="24"/>
        </w:rPr>
        <w:t>人文社科类纵向课题的结转后经费不能报销论文版面费。</w:t>
      </w:r>
    </w:p>
    <w:p>
      <w:pPr>
        <w:pStyle w:val="5"/>
        <w:adjustRightInd w:val="0"/>
        <w:snapToGrid w:val="0"/>
        <w:spacing w:before="0" w:beforeAutospacing="0" w:after="0" w:afterAutospacing="0" w:line="360" w:lineRule="auto"/>
        <w:ind w:firstLine="424" w:firstLineChars="177"/>
        <w:rPr>
          <w:rFonts w:asciiTheme="minorEastAsia" w:hAnsiTheme="minorEastAsia" w:eastAsiaTheme="minorEastAsia" w:cstheme="minorBidi"/>
          <w:kern w:val="2"/>
        </w:rPr>
      </w:pPr>
      <w:r>
        <w:rPr>
          <w:rFonts w:asciiTheme="minorEastAsia" w:hAnsiTheme="minorEastAsia" w:eastAsiaTheme="minorEastAsia" w:cstheme="minorBidi"/>
          <w:kern w:val="2"/>
        </w:rPr>
        <w:t>6</w:t>
      </w:r>
      <w:r>
        <w:rPr>
          <w:rFonts w:hint="eastAsia" w:asciiTheme="minorEastAsia" w:hAnsiTheme="minorEastAsia" w:eastAsiaTheme="minorEastAsia" w:cstheme="minorBidi"/>
          <w:kern w:val="2"/>
        </w:rPr>
        <w:t>、科研项目办理结题结账过程中，学校不收取管理费。</w:t>
      </w:r>
    </w:p>
    <w:p>
      <w:pPr>
        <w:pStyle w:val="5"/>
        <w:adjustRightInd w:val="0"/>
        <w:snapToGrid w:val="0"/>
        <w:spacing w:before="0" w:beforeAutospacing="0" w:after="0" w:afterAutospacing="0" w:line="360" w:lineRule="auto"/>
        <w:ind w:firstLine="424" w:firstLineChars="177"/>
        <w:rPr>
          <w:rFonts w:asciiTheme="minorEastAsia" w:hAnsiTheme="minorEastAsia"/>
        </w:rPr>
      </w:pPr>
      <w:r>
        <w:rPr>
          <w:rFonts w:asciiTheme="minorEastAsia" w:hAnsiTheme="minorEastAsia" w:eastAsiaTheme="minorEastAsia" w:cstheme="minorBidi"/>
          <w:kern w:val="2"/>
        </w:rPr>
        <w:t>7</w:t>
      </w:r>
      <w:r>
        <w:rPr>
          <w:rFonts w:hint="eastAsia" w:asciiTheme="minorEastAsia" w:hAnsiTheme="minorEastAsia" w:eastAsiaTheme="minorEastAsia" w:cstheme="minorBidi"/>
          <w:kern w:val="2"/>
        </w:rPr>
        <w:t>、经费余额为0的科研项目不用办理结题结账手续。</w:t>
      </w:r>
    </w:p>
    <w:sectPr>
      <w:pgSz w:w="11906" w:h="16838"/>
      <w:pgMar w:top="1440" w:right="1800" w:bottom="99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AxMjJkNDMyNmUwZjhjOTYxMWNlMTNlNmMzYmJlOTYifQ=="/>
  </w:docVars>
  <w:rsids>
    <w:rsidRoot w:val="00C43300"/>
    <w:rsid w:val="000107CA"/>
    <w:rsid w:val="000226C6"/>
    <w:rsid w:val="00033B81"/>
    <w:rsid w:val="00050D9B"/>
    <w:rsid w:val="00051E00"/>
    <w:rsid w:val="00054F80"/>
    <w:rsid w:val="000B12A1"/>
    <w:rsid w:val="00110D00"/>
    <w:rsid w:val="00157AB6"/>
    <w:rsid w:val="0017206B"/>
    <w:rsid w:val="001754DF"/>
    <w:rsid w:val="001A7CEC"/>
    <w:rsid w:val="001B2743"/>
    <w:rsid w:val="001C39EF"/>
    <w:rsid w:val="001C6858"/>
    <w:rsid w:val="001D74D1"/>
    <w:rsid w:val="001E109D"/>
    <w:rsid w:val="001E62F4"/>
    <w:rsid w:val="0020142B"/>
    <w:rsid w:val="00203633"/>
    <w:rsid w:val="00207068"/>
    <w:rsid w:val="00213434"/>
    <w:rsid w:val="0021501D"/>
    <w:rsid w:val="00216BB8"/>
    <w:rsid w:val="00226E34"/>
    <w:rsid w:val="002309A5"/>
    <w:rsid w:val="00257640"/>
    <w:rsid w:val="00264605"/>
    <w:rsid w:val="00272740"/>
    <w:rsid w:val="002748FF"/>
    <w:rsid w:val="00281B1D"/>
    <w:rsid w:val="002974D8"/>
    <w:rsid w:val="002A09DC"/>
    <w:rsid w:val="002A1568"/>
    <w:rsid w:val="002B25A5"/>
    <w:rsid w:val="002B2737"/>
    <w:rsid w:val="002C1F03"/>
    <w:rsid w:val="002C506C"/>
    <w:rsid w:val="002C5399"/>
    <w:rsid w:val="002E3555"/>
    <w:rsid w:val="00307CDC"/>
    <w:rsid w:val="00315383"/>
    <w:rsid w:val="00320F90"/>
    <w:rsid w:val="00322DA0"/>
    <w:rsid w:val="0033595B"/>
    <w:rsid w:val="0034121B"/>
    <w:rsid w:val="00356E00"/>
    <w:rsid w:val="00372EF7"/>
    <w:rsid w:val="00381090"/>
    <w:rsid w:val="003A3A42"/>
    <w:rsid w:val="003A55C1"/>
    <w:rsid w:val="003C085A"/>
    <w:rsid w:val="003C6135"/>
    <w:rsid w:val="003E466F"/>
    <w:rsid w:val="003E4AC3"/>
    <w:rsid w:val="003E69AD"/>
    <w:rsid w:val="004139AF"/>
    <w:rsid w:val="00415A1E"/>
    <w:rsid w:val="004278A4"/>
    <w:rsid w:val="0043023A"/>
    <w:rsid w:val="004317D1"/>
    <w:rsid w:val="00432652"/>
    <w:rsid w:val="0043415E"/>
    <w:rsid w:val="00447A36"/>
    <w:rsid w:val="00454530"/>
    <w:rsid w:val="00460774"/>
    <w:rsid w:val="00472E1A"/>
    <w:rsid w:val="00473D5A"/>
    <w:rsid w:val="00473FE6"/>
    <w:rsid w:val="004B76BF"/>
    <w:rsid w:val="004B7C0A"/>
    <w:rsid w:val="004C4CD9"/>
    <w:rsid w:val="004D6E8F"/>
    <w:rsid w:val="004D7C8C"/>
    <w:rsid w:val="004E0D9B"/>
    <w:rsid w:val="005066AC"/>
    <w:rsid w:val="00520361"/>
    <w:rsid w:val="00524DAF"/>
    <w:rsid w:val="005559FA"/>
    <w:rsid w:val="005611AF"/>
    <w:rsid w:val="005800E9"/>
    <w:rsid w:val="005835F2"/>
    <w:rsid w:val="005851DE"/>
    <w:rsid w:val="005A1485"/>
    <w:rsid w:val="005A3FBD"/>
    <w:rsid w:val="005C1B30"/>
    <w:rsid w:val="005C2052"/>
    <w:rsid w:val="005C2B97"/>
    <w:rsid w:val="005D03F1"/>
    <w:rsid w:val="005D3AD6"/>
    <w:rsid w:val="005D5FA3"/>
    <w:rsid w:val="005D61B6"/>
    <w:rsid w:val="005E2C42"/>
    <w:rsid w:val="00600A67"/>
    <w:rsid w:val="00633A76"/>
    <w:rsid w:val="006636C9"/>
    <w:rsid w:val="00663B41"/>
    <w:rsid w:val="00667886"/>
    <w:rsid w:val="00690EB1"/>
    <w:rsid w:val="00692637"/>
    <w:rsid w:val="00697C32"/>
    <w:rsid w:val="006B0717"/>
    <w:rsid w:val="006C0197"/>
    <w:rsid w:val="006C25EA"/>
    <w:rsid w:val="006C3957"/>
    <w:rsid w:val="006D41AB"/>
    <w:rsid w:val="006E0C54"/>
    <w:rsid w:val="006E253A"/>
    <w:rsid w:val="007010F0"/>
    <w:rsid w:val="00705481"/>
    <w:rsid w:val="00707F0E"/>
    <w:rsid w:val="007411AE"/>
    <w:rsid w:val="0074651F"/>
    <w:rsid w:val="00764E3F"/>
    <w:rsid w:val="00766205"/>
    <w:rsid w:val="0077161A"/>
    <w:rsid w:val="0079498F"/>
    <w:rsid w:val="007A2649"/>
    <w:rsid w:val="007A3FAE"/>
    <w:rsid w:val="007B2EC7"/>
    <w:rsid w:val="007B40CF"/>
    <w:rsid w:val="007C7AFC"/>
    <w:rsid w:val="007D37ED"/>
    <w:rsid w:val="007D4A9D"/>
    <w:rsid w:val="007E27A6"/>
    <w:rsid w:val="00812672"/>
    <w:rsid w:val="0083293F"/>
    <w:rsid w:val="00837B22"/>
    <w:rsid w:val="00844336"/>
    <w:rsid w:val="008473F0"/>
    <w:rsid w:val="00855FA6"/>
    <w:rsid w:val="00857C7E"/>
    <w:rsid w:val="008607F2"/>
    <w:rsid w:val="008719F5"/>
    <w:rsid w:val="00875A56"/>
    <w:rsid w:val="008844D2"/>
    <w:rsid w:val="00887D7A"/>
    <w:rsid w:val="008A6DEB"/>
    <w:rsid w:val="008C2080"/>
    <w:rsid w:val="008C2DD8"/>
    <w:rsid w:val="009060E7"/>
    <w:rsid w:val="009215EB"/>
    <w:rsid w:val="00931BE5"/>
    <w:rsid w:val="00940951"/>
    <w:rsid w:val="00940C15"/>
    <w:rsid w:val="0094355E"/>
    <w:rsid w:val="0096395C"/>
    <w:rsid w:val="009768DE"/>
    <w:rsid w:val="0098151C"/>
    <w:rsid w:val="00982E69"/>
    <w:rsid w:val="00983FE7"/>
    <w:rsid w:val="0099260D"/>
    <w:rsid w:val="009A2744"/>
    <w:rsid w:val="009A4974"/>
    <w:rsid w:val="009B0C6E"/>
    <w:rsid w:val="009B160A"/>
    <w:rsid w:val="009B40E6"/>
    <w:rsid w:val="009C253D"/>
    <w:rsid w:val="009E0581"/>
    <w:rsid w:val="009F445D"/>
    <w:rsid w:val="00A01202"/>
    <w:rsid w:val="00A117D3"/>
    <w:rsid w:val="00A16889"/>
    <w:rsid w:val="00A2496D"/>
    <w:rsid w:val="00A35B32"/>
    <w:rsid w:val="00A42584"/>
    <w:rsid w:val="00A60560"/>
    <w:rsid w:val="00A615FD"/>
    <w:rsid w:val="00A7518F"/>
    <w:rsid w:val="00A903BF"/>
    <w:rsid w:val="00AA7448"/>
    <w:rsid w:val="00AB1917"/>
    <w:rsid w:val="00AC476D"/>
    <w:rsid w:val="00AD1330"/>
    <w:rsid w:val="00AE18C9"/>
    <w:rsid w:val="00B02481"/>
    <w:rsid w:val="00B25D82"/>
    <w:rsid w:val="00B37D8A"/>
    <w:rsid w:val="00B50BF9"/>
    <w:rsid w:val="00B6193D"/>
    <w:rsid w:val="00B62E7B"/>
    <w:rsid w:val="00B729C5"/>
    <w:rsid w:val="00B80A83"/>
    <w:rsid w:val="00B83271"/>
    <w:rsid w:val="00B8701F"/>
    <w:rsid w:val="00B90B8F"/>
    <w:rsid w:val="00B9321D"/>
    <w:rsid w:val="00B94E6B"/>
    <w:rsid w:val="00BA7B6D"/>
    <w:rsid w:val="00BB2565"/>
    <w:rsid w:val="00BB5FCE"/>
    <w:rsid w:val="00BC5A8C"/>
    <w:rsid w:val="00BF2CE1"/>
    <w:rsid w:val="00BF4913"/>
    <w:rsid w:val="00C05DA0"/>
    <w:rsid w:val="00C172CF"/>
    <w:rsid w:val="00C43300"/>
    <w:rsid w:val="00C43F5C"/>
    <w:rsid w:val="00C612D3"/>
    <w:rsid w:val="00C862B3"/>
    <w:rsid w:val="00C871CD"/>
    <w:rsid w:val="00CA1A63"/>
    <w:rsid w:val="00CB5374"/>
    <w:rsid w:val="00CB5E21"/>
    <w:rsid w:val="00CC3A96"/>
    <w:rsid w:val="00CF1856"/>
    <w:rsid w:val="00CF4239"/>
    <w:rsid w:val="00D00346"/>
    <w:rsid w:val="00D13B1E"/>
    <w:rsid w:val="00D61DED"/>
    <w:rsid w:val="00D66B7E"/>
    <w:rsid w:val="00D74FD4"/>
    <w:rsid w:val="00D7534C"/>
    <w:rsid w:val="00D91737"/>
    <w:rsid w:val="00D927C5"/>
    <w:rsid w:val="00D969D6"/>
    <w:rsid w:val="00DA7147"/>
    <w:rsid w:val="00DB73E6"/>
    <w:rsid w:val="00DC1EBA"/>
    <w:rsid w:val="00DC5E25"/>
    <w:rsid w:val="00DD2184"/>
    <w:rsid w:val="00DE4A06"/>
    <w:rsid w:val="00DE53F8"/>
    <w:rsid w:val="00E02485"/>
    <w:rsid w:val="00E13914"/>
    <w:rsid w:val="00E15915"/>
    <w:rsid w:val="00E26253"/>
    <w:rsid w:val="00E270AF"/>
    <w:rsid w:val="00E31EE4"/>
    <w:rsid w:val="00E32F1B"/>
    <w:rsid w:val="00E41FB3"/>
    <w:rsid w:val="00E5761A"/>
    <w:rsid w:val="00E848D6"/>
    <w:rsid w:val="00E95419"/>
    <w:rsid w:val="00E979E8"/>
    <w:rsid w:val="00EA254E"/>
    <w:rsid w:val="00EA55F0"/>
    <w:rsid w:val="00EA67FF"/>
    <w:rsid w:val="00EB09D2"/>
    <w:rsid w:val="00EB5F1A"/>
    <w:rsid w:val="00EC133D"/>
    <w:rsid w:val="00EF53C4"/>
    <w:rsid w:val="00F1663D"/>
    <w:rsid w:val="00F547E8"/>
    <w:rsid w:val="00F556B2"/>
    <w:rsid w:val="00F6106E"/>
    <w:rsid w:val="00F65B7F"/>
    <w:rsid w:val="00F86BA7"/>
    <w:rsid w:val="00F87180"/>
    <w:rsid w:val="00F960E8"/>
    <w:rsid w:val="00FA4994"/>
    <w:rsid w:val="00FA4DA6"/>
    <w:rsid w:val="00FA729C"/>
    <w:rsid w:val="00FD03E8"/>
    <w:rsid w:val="00FE2531"/>
    <w:rsid w:val="2A766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Hyperlink"/>
    <w:basedOn w:val="7"/>
    <w:unhideWhenUsed/>
    <w:uiPriority w:val="99"/>
    <w:rPr>
      <w:color w:val="0000CC"/>
      <w:u w:val="single"/>
    </w:rPr>
  </w:style>
  <w:style w:type="character" w:customStyle="1" w:styleId="9">
    <w:name w:val="页眉 字符"/>
    <w:basedOn w:val="7"/>
    <w:link w:val="4"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uiPriority w:val="99"/>
    <w:rPr>
      <w:sz w:val="18"/>
      <w:szCs w:val="18"/>
    </w:rPr>
  </w:style>
  <w:style w:type="character" w:customStyle="1" w:styleId="11">
    <w:name w:val="批注框文本 字符"/>
    <w:basedOn w:val="7"/>
    <w:link w:val="2"/>
    <w:autoRedefine/>
    <w:semiHidden/>
    <w:qFormat/>
    <w:uiPriority w:val="99"/>
    <w:rPr>
      <w:sz w:val="18"/>
      <w:szCs w:val="18"/>
    </w:rPr>
  </w:style>
  <w:style w:type="paragraph" w:styleId="12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A080A-2EE5-4EFF-885A-0A1EBB9B2F3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190</Words>
  <Characters>1089</Characters>
  <Lines>9</Lines>
  <Paragraphs>2</Paragraphs>
  <TotalTime>1018</TotalTime>
  <ScaleCrop>false</ScaleCrop>
  <LinksUpToDate>false</LinksUpToDate>
  <CharactersWithSpaces>1277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2017-05-02T02:42:00Z</dcterms:created>
  <dc:creator>user</dc:creator>
  <cp:lastModifiedBy>依林</cp:lastModifiedBy>
  <cp:lastPrinted>2017-04-17T06:41:00Z</cp:lastPrinted>
  <dcterms:modified xsi:type="dcterms:W3CDTF">2025-03-24T06:59:33Z</dcterms:modified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9FA1CE85B3B44085BF3BCFCE323579A5_12</vt:lpwstr>
  </property>
</Properties>
</file>