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8A" w:rsidRPr="001A3D44" w:rsidRDefault="00DE3D8A">
      <w:pPr>
        <w:rPr>
          <w:rFonts w:ascii="Times New Roman" w:eastAsiaTheme="minorEastAsia" w:hAnsi="Times New Roman" w:hint="eastAsia"/>
          <w:sz w:val="28"/>
        </w:rPr>
      </w:pPr>
    </w:p>
    <w:p w:rsidR="00DE3D8A" w:rsidRDefault="00DE3D8A">
      <w:pPr>
        <w:rPr>
          <w:rFonts w:ascii="Times New Roman" w:eastAsia="楷体_GB2312" w:hAnsi="Times New Roman"/>
          <w:sz w:val="28"/>
        </w:rPr>
      </w:pPr>
    </w:p>
    <w:p w:rsidR="00DE3D8A" w:rsidRDefault="006A1630">
      <w:pPr>
        <w:jc w:val="center"/>
        <w:rPr>
          <w:rFonts w:ascii="Times New Roman" w:eastAsia="楷体_GB2312" w:hAnsi="Times New Roman"/>
          <w:sz w:val="28"/>
        </w:rPr>
      </w:pPr>
      <w:r>
        <w:rPr>
          <w:rFonts w:ascii="Times New Roman" w:eastAsia="黑体" w:hAnsi="Times New Roman"/>
          <w:b/>
          <w:sz w:val="44"/>
        </w:rPr>
        <w:t>教育部工程研究中心年度报告</w:t>
      </w:r>
    </w:p>
    <w:p w:rsidR="00DE3D8A" w:rsidRPr="00EF15CB" w:rsidRDefault="006A1630">
      <w:pPr>
        <w:jc w:val="center"/>
        <w:rPr>
          <w:rFonts w:asciiTheme="minorEastAsia" w:eastAsiaTheme="minorEastAsia" w:hAnsiTheme="minorEastAsia"/>
          <w:sz w:val="28"/>
        </w:rPr>
      </w:pPr>
      <w:r w:rsidRPr="00EF15CB">
        <w:rPr>
          <w:rFonts w:asciiTheme="minorEastAsia" w:eastAsiaTheme="minorEastAsia" w:hAnsiTheme="minorEastAsia"/>
          <w:sz w:val="28"/>
        </w:rPr>
        <w:t>（20</w:t>
      </w:r>
      <w:r w:rsidR="00BE66EA" w:rsidRPr="00EF15CB">
        <w:rPr>
          <w:rFonts w:asciiTheme="minorEastAsia" w:eastAsiaTheme="minorEastAsia" w:hAnsiTheme="minorEastAsia" w:hint="eastAsia"/>
          <w:sz w:val="28"/>
        </w:rPr>
        <w:t>19</w:t>
      </w:r>
      <w:r w:rsidRPr="00EF15CB">
        <w:rPr>
          <w:rFonts w:asciiTheme="minorEastAsia" w:eastAsiaTheme="minorEastAsia" w:hAnsiTheme="minorEastAsia"/>
          <w:sz w:val="28"/>
        </w:rPr>
        <w:t>年1月</w:t>
      </w:r>
      <w:r w:rsidR="00EF15CB">
        <w:rPr>
          <w:rFonts w:asciiTheme="minorEastAsia" w:eastAsiaTheme="minorEastAsia" w:hAnsiTheme="minorEastAsia"/>
          <w:sz w:val="28"/>
        </w:rPr>
        <w:t>——20</w:t>
      </w:r>
      <w:r w:rsidR="00BE66EA" w:rsidRPr="00EF15CB">
        <w:rPr>
          <w:rFonts w:asciiTheme="minorEastAsia" w:eastAsiaTheme="minorEastAsia" w:hAnsiTheme="minorEastAsia" w:hint="eastAsia"/>
          <w:sz w:val="28"/>
        </w:rPr>
        <w:t>19</w:t>
      </w:r>
      <w:r w:rsidRPr="00EF15CB">
        <w:rPr>
          <w:rFonts w:asciiTheme="minorEastAsia" w:eastAsiaTheme="minorEastAsia" w:hAnsiTheme="minorEastAsia"/>
          <w:sz w:val="28"/>
        </w:rPr>
        <w:t xml:space="preserve"> 年12月）</w:t>
      </w:r>
    </w:p>
    <w:p w:rsidR="00DE3D8A" w:rsidRDefault="00DE3D8A">
      <w:pPr>
        <w:rPr>
          <w:rFonts w:ascii="Times New Roman" w:eastAsia="楷体_GB2312" w:hAnsi="Times New Roman"/>
          <w:sz w:val="28"/>
        </w:rPr>
      </w:pPr>
    </w:p>
    <w:tbl>
      <w:tblPr>
        <w:tblW w:w="9187" w:type="dxa"/>
        <w:tblInd w:w="-336" w:type="dxa"/>
        <w:tblLayout w:type="fixed"/>
        <w:tblCellMar>
          <w:left w:w="0" w:type="dxa"/>
          <w:right w:w="0" w:type="dxa"/>
        </w:tblCellMar>
        <w:tblLook w:val="04A0"/>
      </w:tblPr>
      <w:tblGrid>
        <w:gridCol w:w="4414"/>
        <w:gridCol w:w="4773"/>
      </w:tblGrid>
      <w:tr w:rsidR="00DE3D8A">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DE3D8A" w:rsidRDefault="006A1630">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工程中心名称：</w:t>
            </w:r>
          </w:p>
        </w:tc>
        <w:tc>
          <w:tcPr>
            <w:tcW w:w="4773" w:type="dxa"/>
            <w:tcBorders>
              <w:top w:val="nil"/>
              <w:left w:val="nil"/>
              <w:bottom w:val="nil"/>
              <w:right w:val="nil"/>
            </w:tcBorders>
            <w:shd w:val="clear" w:color="auto" w:fill="auto"/>
            <w:noWrap/>
            <w:tcMar>
              <w:top w:w="12" w:type="dxa"/>
              <w:left w:w="12" w:type="dxa"/>
              <w:right w:w="12" w:type="dxa"/>
            </w:tcMar>
            <w:vAlign w:val="center"/>
          </w:tcPr>
          <w:p w:rsidR="00EF15CB" w:rsidRDefault="00EF15CB">
            <w:pPr>
              <w:rPr>
                <w:rFonts w:asciiTheme="minorEastAsia" w:eastAsiaTheme="minorEastAsia" w:hAnsiTheme="minorEastAsia"/>
                <w:color w:val="000000"/>
                <w:sz w:val="28"/>
                <w:szCs w:val="28"/>
              </w:rPr>
            </w:pPr>
          </w:p>
          <w:p w:rsidR="00EF15CB" w:rsidRPr="00B33736" w:rsidRDefault="006A1630">
            <w:pPr>
              <w:rPr>
                <w:rFonts w:ascii="楷体" w:eastAsia="楷体" w:hAnsi="楷体"/>
                <w:color w:val="000000"/>
                <w:sz w:val="32"/>
                <w:szCs w:val="28"/>
              </w:rPr>
            </w:pPr>
            <w:r w:rsidRPr="00B33736">
              <w:rPr>
                <w:rFonts w:ascii="楷体" w:eastAsia="楷体" w:hAnsi="楷体"/>
                <w:color w:val="000000"/>
                <w:sz w:val="32"/>
                <w:szCs w:val="28"/>
              </w:rPr>
              <w:t>眼科诊疗设备与材料</w:t>
            </w:r>
          </w:p>
          <w:p w:rsidR="00DE3D8A" w:rsidRPr="00EF15CB" w:rsidRDefault="006A1630">
            <w:pPr>
              <w:rPr>
                <w:rFonts w:asciiTheme="minorEastAsia" w:eastAsiaTheme="minorEastAsia" w:hAnsiTheme="minorEastAsia"/>
                <w:color w:val="000000"/>
                <w:sz w:val="28"/>
                <w:szCs w:val="28"/>
              </w:rPr>
            </w:pPr>
            <w:r w:rsidRPr="00B33736">
              <w:rPr>
                <w:rFonts w:ascii="楷体" w:eastAsia="楷体" w:hAnsi="楷体"/>
                <w:color w:val="000000"/>
                <w:sz w:val="32"/>
                <w:szCs w:val="28"/>
              </w:rPr>
              <w:t>教育部工程研究中心</w:t>
            </w:r>
          </w:p>
        </w:tc>
      </w:tr>
      <w:tr w:rsidR="00DE3D8A">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DE3D8A" w:rsidRDefault="006A1630">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所属技术领域：</w:t>
            </w:r>
          </w:p>
        </w:tc>
        <w:sdt>
          <w:sdtPr>
            <w:rPr>
              <w:rFonts w:ascii="楷体" w:eastAsia="楷体" w:hAnsi="楷体"/>
              <w:color w:val="000000"/>
              <w:sz w:val="32"/>
              <w:szCs w:val="28"/>
            </w:rPr>
            <w:id w:val="147453087"/>
            <w:placeholder>
              <w:docPart w:val="{8f597f7d-00b8-499e-a68f-587765a9bb70}"/>
            </w:placeholder>
            <w:dropDownList>
              <w:listItem w:displayText="技术领域清单附后" w:value="技术领域清单附后"/>
              <w:listItem w:displayText="机械与运载" w:value="机械与运载"/>
              <w:listItem w:displayText="信息与电子" w:value="信息与电子"/>
              <w:listItem w:displayText="能源与矿业" w:value="能源与矿业"/>
              <w:listItem w:displayText="土木、水利与建筑" w:value="土木、水利与建筑"/>
              <w:listItem w:displayText="环境与轻纺" w:value="环境与轻纺"/>
              <w:listItem w:displayText="农林牧渔" w:value="农林牧渔"/>
              <w:listItem w:displayText="生物医药" w:value="生物医药"/>
              <w:listItem w:displayText="化工、冶金与材料" w:value="化工、冶金与材料"/>
            </w:dropDownList>
          </w:sdtPr>
          <w:sdtContent>
            <w:tc>
              <w:tcPr>
                <w:tcW w:w="4773" w:type="dxa"/>
                <w:tcBorders>
                  <w:top w:val="nil"/>
                  <w:left w:val="nil"/>
                  <w:bottom w:val="nil"/>
                  <w:right w:val="nil"/>
                </w:tcBorders>
                <w:shd w:val="clear" w:color="auto" w:fill="auto"/>
                <w:noWrap/>
                <w:tcMar>
                  <w:top w:w="12" w:type="dxa"/>
                  <w:left w:w="12" w:type="dxa"/>
                  <w:right w:w="12" w:type="dxa"/>
                </w:tcMar>
                <w:vAlign w:val="center"/>
              </w:tcPr>
              <w:p w:rsidR="00DE3D8A" w:rsidRDefault="00EF15CB">
                <w:pPr>
                  <w:rPr>
                    <w:rFonts w:ascii="Times New Roman" w:hAnsi="Times New Roman"/>
                    <w:color w:val="000000"/>
                    <w:sz w:val="22"/>
                    <w:szCs w:val="22"/>
                  </w:rPr>
                </w:pPr>
                <w:r w:rsidRPr="00B33736">
                  <w:rPr>
                    <w:rFonts w:ascii="楷体" w:eastAsia="楷体" w:hAnsi="楷体"/>
                    <w:color w:val="000000"/>
                    <w:sz w:val="32"/>
                    <w:szCs w:val="28"/>
                  </w:rPr>
                  <w:t>生物医药</w:t>
                </w:r>
              </w:p>
            </w:tc>
          </w:sdtContent>
        </w:sdt>
      </w:tr>
      <w:tr w:rsidR="00DE3D8A">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DE3D8A" w:rsidRDefault="006A1630">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工程中心主任：</w:t>
            </w:r>
          </w:p>
        </w:tc>
        <w:tc>
          <w:tcPr>
            <w:tcW w:w="4773" w:type="dxa"/>
            <w:tcBorders>
              <w:top w:val="nil"/>
              <w:left w:val="nil"/>
              <w:bottom w:val="nil"/>
              <w:right w:val="nil"/>
            </w:tcBorders>
            <w:shd w:val="clear" w:color="auto" w:fill="auto"/>
            <w:noWrap/>
            <w:tcMar>
              <w:top w:w="12" w:type="dxa"/>
              <w:left w:w="12" w:type="dxa"/>
              <w:right w:w="12" w:type="dxa"/>
            </w:tcMar>
            <w:vAlign w:val="center"/>
          </w:tcPr>
          <w:p w:rsidR="00DE3D8A" w:rsidRPr="00EF15CB" w:rsidRDefault="006A1630">
            <w:pPr>
              <w:rPr>
                <w:rFonts w:asciiTheme="minorEastAsia" w:eastAsiaTheme="minorEastAsia" w:hAnsiTheme="minorEastAsia"/>
                <w:color w:val="000000"/>
                <w:sz w:val="28"/>
                <w:szCs w:val="28"/>
              </w:rPr>
            </w:pPr>
            <w:r w:rsidRPr="00B33736">
              <w:rPr>
                <w:rFonts w:ascii="楷体" w:eastAsia="楷体" w:hAnsi="楷体"/>
                <w:color w:val="000000"/>
                <w:sz w:val="32"/>
                <w:szCs w:val="28"/>
              </w:rPr>
              <w:t>王宁利</w:t>
            </w:r>
          </w:p>
        </w:tc>
      </w:tr>
      <w:tr w:rsidR="00DE3D8A">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DE3D8A" w:rsidRDefault="006A1630">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工程中心联系人</w:t>
            </w:r>
            <w:r>
              <w:rPr>
                <w:rFonts w:ascii="Times New Roman" w:eastAsia="楷体" w:hAnsi="Times New Roman"/>
                <w:b/>
                <w:color w:val="000000"/>
                <w:kern w:val="0"/>
                <w:sz w:val="32"/>
                <w:szCs w:val="32"/>
              </w:rPr>
              <w:t>/</w:t>
            </w:r>
            <w:r>
              <w:rPr>
                <w:rFonts w:ascii="Times New Roman" w:eastAsia="楷体" w:hAnsi="Times New Roman"/>
                <w:b/>
                <w:color w:val="000000"/>
                <w:kern w:val="0"/>
                <w:sz w:val="32"/>
                <w:szCs w:val="32"/>
              </w:rPr>
              <w:t>联系电话：</w:t>
            </w:r>
          </w:p>
        </w:tc>
        <w:tc>
          <w:tcPr>
            <w:tcW w:w="4773" w:type="dxa"/>
            <w:tcBorders>
              <w:top w:val="nil"/>
              <w:left w:val="nil"/>
              <w:bottom w:val="nil"/>
              <w:right w:val="nil"/>
            </w:tcBorders>
            <w:shd w:val="clear" w:color="auto" w:fill="auto"/>
            <w:noWrap/>
            <w:tcMar>
              <w:top w:w="12" w:type="dxa"/>
              <w:left w:w="12" w:type="dxa"/>
              <w:right w:w="12" w:type="dxa"/>
            </w:tcMar>
            <w:vAlign w:val="center"/>
          </w:tcPr>
          <w:p w:rsidR="00DE3D8A" w:rsidRDefault="006A1630" w:rsidP="005F1350">
            <w:pPr>
              <w:rPr>
                <w:rFonts w:ascii="Times New Roman" w:eastAsia="仿宋_GB2312" w:hAnsi="Times New Roman"/>
                <w:color w:val="000000"/>
                <w:sz w:val="32"/>
                <w:szCs w:val="32"/>
              </w:rPr>
            </w:pPr>
            <w:r w:rsidRPr="00B33736">
              <w:rPr>
                <w:rFonts w:ascii="楷体" w:eastAsia="楷体" w:hAnsi="楷体" w:hint="eastAsia"/>
                <w:color w:val="000000"/>
                <w:sz w:val="32"/>
                <w:szCs w:val="28"/>
              </w:rPr>
              <w:t>甄毅</w:t>
            </w:r>
            <w:r w:rsidR="005F1350">
              <w:rPr>
                <w:rFonts w:ascii="楷体" w:eastAsia="楷体" w:hAnsi="楷体" w:hint="eastAsia"/>
                <w:color w:val="000000"/>
                <w:sz w:val="32"/>
                <w:szCs w:val="28"/>
              </w:rPr>
              <w:t xml:space="preserve"> </w:t>
            </w:r>
            <w:r w:rsidRPr="00B33736">
              <w:rPr>
                <w:rFonts w:ascii="楷体" w:eastAsia="楷体" w:hAnsi="楷体"/>
                <w:color w:val="000000"/>
                <w:sz w:val="32"/>
                <w:szCs w:val="28"/>
              </w:rPr>
              <w:t>13611234688</w:t>
            </w:r>
          </w:p>
        </w:tc>
      </w:tr>
      <w:tr w:rsidR="00DE3D8A">
        <w:trPr>
          <w:trHeight w:val="656"/>
        </w:trPr>
        <w:tc>
          <w:tcPr>
            <w:tcW w:w="4414" w:type="dxa"/>
            <w:tcBorders>
              <w:top w:val="nil"/>
              <w:left w:val="nil"/>
              <w:bottom w:val="nil"/>
              <w:right w:val="nil"/>
            </w:tcBorders>
            <w:shd w:val="clear" w:color="auto" w:fill="auto"/>
            <w:noWrap/>
            <w:tcMar>
              <w:top w:w="12" w:type="dxa"/>
              <w:left w:w="12" w:type="dxa"/>
              <w:right w:w="12" w:type="dxa"/>
            </w:tcMar>
            <w:vAlign w:val="center"/>
          </w:tcPr>
          <w:p w:rsidR="00DE3D8A" w:rsidRDefault="006A1630">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rPr>
              <w:t>依托单位名称：</w:t>
            </w:r>
          </w:p>
        </w:tc>
        <w:tc>
          <w:tcPr>
            <w:tcW w:w="4773" w:type="dxa"/>
            <w:tcBorders>
              <w:top w:val="nil"/>
              <w:left w:val="nil"/>
              <w:bottom w:val="nil"/>
              <w:right w:val="nil"/>
            </w:tcBorders>
            <w:shd w:val="clear" w:color="auto" w:fill="auto"/>
            <w:noWrap/>
            <w:tcMar>
              <w:top w:w="12" w:type="dxa"/>
              <w:left w:w="12" w:type="dxa"/>
              <w:right w:w="12" w:type="dxa"/>
            </w:tcMar>
            <w:vAlign w:val="center"/>
          </w:tcPr>
          <w:p w:rsidR="00DE3D8A" w:rsidRDefault="006A1630">
            <w:pPr>
              <w:rPr>
                <w:rFonts w:ascii="Times New Roman" w:hAnsi="Times New Roman"/>
                <w:color w:val="000000"/>
                <w:sz w:val="22"/>
                <w:szCs w:val="22"/>
              </w:rPr>
            </w:pPr>
            <w:r w:rsidRPr="00B33736">
              <w:rPr>
                <w:rFonts w:ascii="楷体" w:eastAsia="楷体" w:hAnsi="楷体"/>
                <w:color w:val="000000"/>
                <w:sz w:val="32"/>
                <w:szCs w:val="28"/>
              </w:rPr>
              <w:t>首都医科大学附属北京同仁医院</w:t>
            </w:r>
          </w:p>
        </w:tc>
      </w:tr>
    </w:tbl>
    <w:p w:rsidR="00DE3D8A" w:rsidRDefault="00DE3D8A">
      <w:pPr>
        <w:rPr>
          <w:rFonts w:ascii="Times New Roman" w:eastAsia="楷体_GB2312" w:hAnsi="Times New Roman"/>
          <w:b/>
          <w:sz w:val="28"/>
        </w:rPr>
      </w:pPr>
    </w:p>
    <w:p w:rsidR="00DE3D8A" w:rsidRDefault="00DE3D8A">
      <w:pPr>
        <w:rPr>
          <w:rFonts w:ascii="Times New Roman" w:eastAsia="楷体_GB2312" w:hAnsi="Times New Roman"/>
          <w:sz w:val="28"/>
        </w:rPr>
      </w:pPr>
    </w:p>
    <w:p w:rsidR="00DE3D8A" w:rsidRDefault="00DE3D8A">
      <w:pPr>
        <w:jc w:val="center"/>
        <w:rPr>
          <w:rFonts w:ascii="Times New Roman" w:eastAsia="楷体_GB2312" w:hAnsi="Times New Roman"/>
          <w:sz w:val="28"/>
        </w:rPr>
      </w:pPr>
    </w:p>
    <w:p w:rsidR="00DE3D8A" w:rsidRDefault="00DE3D8A">
      <w:pPr>
        <w:jc w:val="center"/>
        <w:rPr>
          <w:rFonts w:ascii="Times New Roman" w:eastAsia="楷体_GB2312" w:hAnsi="Times New Roman"/>
          <w:sz w:val="28"/>
        </w:rPr>
      </w:pPr>
    </w:p>
    <w:p w:rsidR="00DE3D8A" w:rsidRDefault="00DE3D8A">
      <w:pPr>
        <w:jc w:val="center"/>
        <w:rPr>
          <w:rFonts w:ascii="Times New Roman" w:eastAsia="楷体_GB2312" w:hAnsi="Times New Roman"/>
          <w:sz w:val="28"/>
        </w:rPr>
      </w:pPr>
    </w:p>
    <w:p w:rsidR="00DE3D8A" w:rsidRPr="00EF15CB" w:rsidRDefault="005130F9" w:rsidP="00EF15CB">
      <w:pPr>
        <w:jc w:val="center"/>
        <w:rPr>
          <w:rFonts w:asciiTheme="minorEastAsia" w:eastAsiaTheme="minorEastAsia" w:hAnsiTheme="minorEastAsia"/>
          <w:color w:val="000000"/>
          <w:sz w:val="28"/>
          <w:szCs w:val="28"/>
        </w:rPr>
      </w:pPr>
      <w:r w:rsidRPr="00EF15CB">
        <w:rPr>
          <w:rFonts w:asciiTheme="minorEastAsia" w:eastAsiaTheme="minorEastAsia" w:hAnsiTheme="minorEastAsia" w:hint="eastAsia"/>
          <w:color w:val="000000"/>
          <w:sz w:val="28"/>
          <w:szCs w:val="28"/>
        </w:rPr>
        <w:t>2020</w:t>
      </w:r>
      <w:r w:rsidR="006A1630" w:rsidRPr="00EF15CB">
        <w:rPr>
          <w:rFonts w:asciiTheme="minorEastAsia" w:eastAsiaTheme="minorEastAsia" w:hAnsiTheme="minorEastAsia"/>
          <w:color w:val="000000"/>
          <w:sz w:val="28"/>
          <w:szCs w:val="28"/>
        </w:rPr>
        <w:t>年</w:t>
      </w:r>
      <w:r w:rsidR="00EF15CB">
        <w:rPr>
          <w:rFonts w:asciiTheme="minorEastAsia" w:eastAsiaTheme="minorEastAsia" w:hAnsiTheme="minorEastAsia"/>
          <w:color w:val="000000"/>
          <w:sz w:val="28"/>
          <w:szCs w:val="28"/>
        </w:rPr>
        <w:t xml:space="preserve"> </w:t>
      </w:r>
      <w:r w:rsidRPr="00EF15CB">
        <w:rPr>
          <w:rFonts w:asciiTheme="minorEastAsia" w:eastAsiaTheme="minorEastAsia" w:hAnsiTheme="minorEastAsia" w:hint="eastAsia"/>
          <w:color w:val="000000"/>
          <w:sz w:val="28"/>
          <w:szCs w:val="28"/>
        </w:rPr>
        <w:t>05</w:t>
      </w:r>
      <w:r w:rsidR="006A1630" w:rsidRPr="00EF15CB">
        <w:rPr>
          <w:rFonts w:asciiTheme="minorEastAsia" w:eastAsiaTheme="minorEastAsia" w:hAnsiTheme="minorEastAsia"/>
          <w:color w:val="000000"/>
          <w:sz w:val="28"/>
          <w:szCs w:val="28"/>
        </w:rPr>
        <w:t xml:space="preserve">月 </w:t>
      </w:r>
      <w:r w:rsidRPr="00EF15CB">
        <w:rPr>
          <w:rFonts w:asciiTheme="minorEastAsia" w:eastAsiaTheme="minorEastAsia" w:hAnsiTheme="minorEastAsia" w:hint="eastAsia"/>
          <w:color w:val="000000"/>
          <w:sz w:val="28"/>
          <w:szCs w:val="28"/>
        </w:rPr>
        <w:t>06</w:t>
      </w:r>
      <w:r w:rsidR="006A1630" w:rsidRPr="00EF15CB">
        <w:rPr>
          <w:rFonts w:asciiTheme="minorEastAsia" w:eastAsiaTheme="minorEastAsia" w:hAnsiTheme="minorEastAsia"/>
          <w:color w:val="000000"/>
          <w:sz w:val="28"/>
          <w:szCs w:val="28"/>
        </w:rPr>
        <w:t>日填报</w:t>
      </w:r>
    </w:p>
    <w:p w:rsidR="00DE3D8A" w:rsidRDefault="00DE3D8A">
      <w:pPr>
        <w:jc w:val="center"/>
        <w:rPr>
          <w:rFonts w:ascii="方正小标宋简体" w:eastAsia="方正小标宋简体" w:hAnsi="方正小标宋简体" w:cs="方正小标宋简体"/>
          <w:b/>
          <w:sz w:val="44"/>
        </w:rPr>
        <w:sectPr w:rsidR="00DE3D8A">
          <w:headerReference w:type="default" r:id="rId9"/>
          <w:pgSz w:w="11906" w:h="16838"/>
          <w:pgMar w:top="2098" w:right="1474" w:bottom="1984" w:left="1587" w:header="851" w:footer="992" w:gutter="0"/>
          <w:pgNumType w:start="1"/>
          <w:cols w:space="720"/>
          <w:docGrid w:type="lines" w:linePitch="312"/>
        </w:sectPr>
      </w:pPr>
    </w:p>
    <w:p w:rsidR="00DE3D8A" w:rsidRDefault="006A1630">
      <w:pPr>
        <w:jc w:val="center"/>
        <w:rPr>
          <w:rFonts w:ascii="方正小标宋简体" w:eastAsia="方正小标宋简体" w:hAnsi="方正小标宋简体" w:cs="方正小标宋简体"/>
          <w:b/>
          <w:bCs/>
          <w:spacing w:val="283"/>
          <w:sz w:val="36"/>
          <w:szCs w:val="36"/>
        </w:rPr>
      </w:pPr>
      <w:r>
        <w:rPr>
          <w:rFonts w:ascii="方正小标宋简体" w:eastAsia="方正小标宋简体" w:hAnsi="方正小标宋简体" w:cs="方正小标宋简体" w:hint="eastAsia"/>
          <w:b/>
          <w:bCs/>
          <w:spacing w:val="283"/>
          <w:sz w:val="44"/>
          <w:szCs w:val="44"/>
        </w:rPr>
        <w:lastRenderedPageBreak/>
        <w:t>编制说明</w:t>
      </w:r>
    </w:p>
    <w:p w:rsidR="00DE3D8A" w:rsidRDefault="00DE3D8A" w:rsidP="00EF15CB">
      <w:pPr>
        <w:ind w:firstLineChars="200" w:firstLine="1860"/>
        <w:jc w:val="center"/>
        <w:rPr>
          <w:rFonts w:ascii="方正小标宋简体" w:eastAsia="方正小标宋简体" w:hAnsi="方正小标宋简体" w:cs="方正小标宋简体"/>
          <w:b/>
          <w:bCs/>
          <w:spacing w:val="283"/>
          <w:sz w:val="36"/>
          <w:szCs w:val="36"/>
        </w:rPr>
      </w:pPr>
    </w:p>
    <w:p w:rsidR="00DE3D8A" w:rsidRDefault="006A1630">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报告由中心依托单位和主管部门审核并签章；</w:t>
      </w:r>
    </w:p>
    <w:p w:rsidR="00DE3D8A" w:rsidRDefault="006A1630">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报告中主管部门指的是申报单位所属国务院有关部门相关司局或所在地方省级教育主管部门；</w:t>
      </w:r>
    </w:p>
    <w:p w:rsidR="00DE3D8A" w:rsidRDefault="006A1630">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请按规范全称填写报告中的依托单位名称；</w:t>
      </w:r>
    </w:p>
    <w:p w:rsidR="00DE3D8A" w:rsidRDefault="006A1630">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报告中正文须采用宋体小四号字填写，单倍行距；</w:t>
      </w:r>
    </w:p>
    <w:p w:rsidR="00DE3D8A" w:rsidRDefault="006A1630">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凡不填写内容的栏目，请用“无”标示；</w:t>
      </w:r>
    </w:p>
    <w:p w:rsidR="00DE3D8A" w:rsidRDefault="006A1630">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封面“所属技术领域”包括“机械与运载工程”“信息与电子工程”“化工、冶金与材料工程”“能源与矿业工程”“土木、水利与建筑工程”“环境与轻纺工程”“农业”“医药卫生”；</w:t>
      </w:r>
    </w:p>
    <w:p w:rsidR="00DE3D8A" w:rsidRDefault="006A1630">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第八部分“年度与运行情况统计表”中所填写内容均为编制周期内情况；</w:t>
      </w:r>
    </w:p>
    <w:p w:rsidR="00DE3D8A" w:rsidRPr="005F1350" w:rsidRDefault="006A1630" w:rsidP="005F1350">
      <w:pPr>
        <w:numPr>
          <w:ilvl w:val="0"/>
          <w:numId w:val="1"/>
        </w:numPr>
        <w:spacing w:line="560" w:lineRule="exact"/>
        <w:ind w:firstLineChars="200" w:firstLine="640"/>
        <w:rPr>
          <w:rFonts w:ascii="仿宋_GB2312" w:eastAsia="仿宋_GB2312" w:hAnsi="仿宋_GB2312" w:cs="仿宋_GB2312"/>
          <w:sz w:val="32"/>
          <w:szCs w:val="32"/>
        </w:rPr>
        <w:sectPr w:rsidR="00DE3D8A" w:rsidRPr="005F1350">
          <w:footerReference w:type="default" r:id="rId10"/>
          <w:pgSz w:w="11906" w:h="16838"/>
          <w:pgMar w:top="2098" w:right="1474" w:bottom="1984" w:left="1587" w:header="851" w:footer="992" w:gutter="0"/>
          <w:pgNumType w:start="1"/>
          <w:cols w:space="720"/>
          <w:docGrid w:type="lines" w:linePitch="312"/>
        </w:sectPr>
      </w:pPr>
      <w:r>
        <w:rPr>
          <w:rFonts w:ascii="仿宋_GB2312" w:eastAsia="仿宋_GB2312" w:hAnsi="仿宋_GB2312" w:cs="仿宋_GB2312" w:hint="eastAsia"/>
          <w:sz w:val="32"/>
          <w:szCs w:val="32"/>
        </w:rPr>
        <w:t>报告提交一份WORD文档和一份有电子章或盖章后扫描的PDF文件至教育部科技司。</w:t>
      </w:r>
    </w:p>
    <w:p w:rsidR="00DE3D8A" w:rsidRDefault="00DE3D8A" w:rsidP="005F1350">
      <w:pPr>
        <w:spacing w:line="560" w:lineRule="exact"/>
        <w:rPr>
          <w:rFonts w:ascii="方正小标宋简体" w:eastAsia="方正小标宋简体" w:hAnsi="方正小标宋简体" w:cs="方正小标宋简体"/>
          <w:b/>
          <w:sz w:val="44"/>
        </w:rPr>
      </w:pPr>
    </w:p>
    <w:p w:rsidR="00DE3D8A" w:rsidRDefault="00EF15CB" w:rsidP="00EF15CB">
      <w:pPr>
        <w:spacing w:line="560" w:lineRule="exact"/>
        <w:ind w:firstLineChars="200" w:firstLine="640"/>
        <w:rPr>
          <w:rFonts w:ascii="Times New Roman" w:eastAsia="楷体" w:hAnsi="Times New Roman"/>
          <w:sz w:val="32"/>
          <w:szCs w:val="32"/>
        </w:rPr>
      </w:pPr>
      <w:r>
        <w:rPr>
          <w:rFonts w:ascii="Times New Roman" w:eastAsia="黑体" w:hAnsi="Times New Roman" w:hint="eastAsia"/>
          <w:sz w:val="32"/>
          <w:szCs w:val="32"/>
        </w:rPr>
        <w:t>一、</w:t>
      </w:r>
      <w:r w:rsidR="006A1630">
        <w:rPr>
          <w:rFonts w:ascii="Times New Roman" w:eastAsia="黑体" w:hAnsi="Times New Roman"/>
          <w:sz w:val="32"/>
          <w:szCs w:val="32"/>
        </w:rPr>
        <w:t>技术攻关与创新情况</w:t>
      </w:r>
      <w:r w:rsidR="006A1630">
        <w:rPr>
          <w:rFonts w:ascii="Times New Roman" w:eastAsia="楷体" w:hAnsi="Times New Roman"/>
          <w:sz w:val="32"/>
          <w:szCs w:val="32"/>
        </w:rPr>
        <w:t>（结合总体定位和研究方向，概述中心本年度技术攻关进展情况</w:t>
      </w:r>
      <w:r w:rsidR="006A1630">
        <w:rPr>
          <w:rFonts w:ascii="Times New Roman" w:eastAsia="楷体" w:hAnsi="Times New Roman" w:hint="eastAsia"/>
          <w:sz w:val="32"/>
          <w:szCs w:val="32"/>
        </w:rPr>
        <w:t>和代表性成果</w:t>
      </w:r>
      <w:r w:rsidR="006A1630">
        <w:rPr>
          <w:rFonts w:ascii="Times New Roman" w:eastAsia="楷体" w:hAnsi="Times New Roman"/>
          <w:sz w:val="32"/>
          <w:szCs w:val="32"/>
        </w:rPr>
        <w:t>，字数不超过</w:t>
      </w:r>
      <w:r w:rsidR="006A1630">
        <w:rPr>
          <w:rFonts w:ascii="Times New Roman" w:eastAsia="楷体" w:hAnsi="Times New Roman" w:hint="eastAsia"/>
          <w:sz w:val="32"/>
          <w:szCs w:val="32"/>
        </w:rPr>
        <w:t>20</w:t>
      </w:r>
      <w:r w:rsidR="006A1630">
        <w:rPr>
          <w:rFonts w:ascii="Times New Roman" w:eastAsia="楷体" w:hAnsi="Times New Roman"/>
          <w:sz w:val="32"/>
          <w:szCs w:val="32"/>
        </w:rPr>
        <w:t>00</w:t>
      </w:r>
      <w:r w:rsidR="006A1630">
        <w:rPr>
          <w:rFonts w:ascii="Times New Roman" w:eastAsia="楷体" w:hAnsi="Times New Roman"/>
          <w:sz w:val="32"/>
          <w:szCs w:val="32"/>
        </w:rPr>
        <w:t>字）</w:t>
      </w:r>
    </w:p>
    <w:p w:rsidR="00DE3D8A" w:rsidRPr="00EF15CB" w:rsidRDefault="006A1630" w:rsidP="00EF15CB">
      <w:pPr>
        <w:pStyle w:val="1"/>
        <w:numPr>
          <w:ilvl w:val="0"/>
          <w:numId w:val="3"/>
        </w:numPr>
        <w:snapToGrid w:val="0"/>
        <w:ind w:firstLineChars="0"/>
        <w:rPr>
          <w:rFonts w:asciiTheme="minorEastAsia" w:eastAsiaTheme="minorEastAsia" w:hAnsiTheme="minorEastAsia"/>
          <w:color w:val="000000"/>
          <w:sz w:val="24"/>
          <w:szCs w:val="28"/>
        </w:rPr>
      </w:pPr>
      <w:r w:rsidRPr="00EF15CB">
        <w:rPr>
          <w:rFonts w:asciiTheme="minorEastAsia" w:eastAsiaTheme="minorEastAsia" w:hAnsiTheme="minorEastAsia"/>
          <w:color w:val="000000"/>
          <w:sz w:val="24"/>
          <w:szCs w:val="28"/>
        </w:rPr>
        <w:t>总体</w:t>
      </w:r>
      <w:r w:rsidRPr="00EF15CB">
        <w:rPr>
          <w:rFonts w:asciiTheme="minorEastAsia" w:eastAsiaTheme="minorEastAsia" w:hAnsiTheme="minorEastAsia" w:hint="eastAsia"/>
          <w:color w:val="000000"/>
          <w:sz w:val="24"/>
          <w:szCs w:val="28"/>
        </w:rPr>
        <w:t>定位：</w:t>
      </w:r>
    </w:p>
    <w:p w:rsidR="00DE3D8A" w:rsidRPr="00EF15CB" w:rsidRDefault="006A1630" w:rsidP="00EF15CB">
      <w:pPr>
        <w:snapToGrid w:val="0"/>
        <w:ind w:firstLineChars="200" w:firstLine="480"/>
        <w:rPr>
          <w:rFonts w:asciiTheme="minorEastAsia" w:eastAsiaTheme="minorEastAsia" w:hAnsiTheme="minorEastAsia"/>
          <w:color w:val="000000"/>
          <w:sz w:val="24"/>
          <w:szCs w:val="28"/>
        </w:rPr>
      </w:pPr>
      <w:r w:rsidRPr="00EF15CB">
        <w:rPr>
          <w:rFonts w:asciiTheme="minorEastAsia" w:eastAsiaTheme="minorEastAsia" w:hAnsiTheme="minorEastAsia" w:hint="eastAsia"/>
          <w:color w:val="000000"/>
          <w:sz w:val="24"/>
          <w:szCs w:val="28"/>
        </w:rPr>
        <w:t>围绕眼病诊治所需设备的研制和开发，以高起点深入源头创新性研究以及成果转化关键平台技术为建设重点，凝聚优秀科研力量，培养高层次拔尖人才和广泛科研、产业协作网络。搭建连接科研机构、医疗用户、生产企业的开放式交流、合作平台。打造一个以源头创新研究为龙头的、试验研究和产业转化紧密结合的国家级工程技术研究中心，成为我国眼科诊疗设备研发核心基地、产业技术中心、人才培养中心、技术咨询服务中心和国际交流合作中心。在整个行业科技进步中起示范及带动作用。</w:t>
      </w:r>
    </w:p>
    <w:p w:rsidR="00DE3D8A" w:rsidRPr="00EF15CB" w:rsidRDefault="006A1630" w:rsidP="00EF15CB">
      <w:pPr>
        <w:pStyle w:val="1"/>
        <w:numPr>
          <w:ilvl w:val="0"/>
          <w:numId w:val="3"/>
        </w:numPr>
        <w:snapToGrid w:val="0"/>
        <w:ind w:firstLineChars="0"/>
        <w:rPr>
          <w:rFonts w:asciiTheme="minorEastAsia" w:eastAsiaTheme="minorEastAsia" w:hAnsiTheme="minorEastAsia"/>
          <w:color w:val="000000"/>
          <w:sz w:val="24"/>
          <w:szCs w:val="28"/>
        </w:rPr>
      </w:pPr>
      <w:r w:rsidRPr="00EF15CB">
        <w:rPr>
          <w:rFonts w:asciiTheme="minorEastAsia" w:eastAsiaTheme="minorEastAsia" w:hAnsiTheme="minorEastAsia" w:hint="eastAsia"/>
          <w:color w:val="000000"/>
          <w:sz w:val="24"/>
          <w:szCs w:val="28"/>
        </w:rPr>
        <w:t>研发方向：</w:t>
      </w:r>
    </w:p>
    <w:p w:rsidR="00DE3D8A" w:rsidRPr="00EF15CB" w:rsidRDefault="006A1630" w:rsidP="00EF15CB">
      <w:pPr>
        <w:ind w:firstLineChars="200" w:firstLine="480"/>
        <w:rPr>
          <w:rFonts w:asciiTheme="minorEastAsia" w:eastAsiaTheme="minorEastAsia" w:hAnsiTheme="minorEastAsia"/>
          <w:color w:val="000000"/>
          <w:sz w:val="24"/>
          <w:szCs w:val="28"/>
        </w:rPr>
      </w:pPr>
      <w:r w:rsidRPr="00EF15CB">
        <w:rPr>
          <w:rFonts w:asciiTheme="minorEastAsia" w:eastAsiaTheme="minorEastAsia" w:hAnsiTheme="minorEastAsia" w:hint="eastAsia"/>
          <w:color w:val="000000"/>
          <w:sz w:val="24"/>
          <w:szCs w:val="28"/>
        </w:rPr>
        <w:t>中心重点就以下两类产品的产业化提供成熟、配套的工艺技术：1.</w:t>
      </w:r>
      <w:r w:rsidRPr="00EF15CB">
        <w:rPr>
          <w:rFonts w:asciiTheme="minorEastAsia" w:eastAsiaTheme="minorEastAsia" w:hAnsiTheme="minorEastAsia" w:hint="eastAsia"/>
          <w:color w:val="000000"/>
          <w:sz w:val="24"/>
          <w:szCs w:val="28"/>
        </w:rPr>
        <w:tab/>
        <w:t>符合三级医疗网络建设要求，适于在基层医疗结构使用的适宜化眼科诊疗设备及技术</w:t>
      </w:r>
      <w:r w:rsidRPr="00EF15CB">
        <w:rPr>
          <w:rFonts w:asciiTheme="minorEastAsia" w:eastAsiaTheme="minorEastAsia" w:hAnsiTheme="minorEastAsia"/>
          <w:color w:val="000000"/>
          <w:sz w:val="24"/>
          <w:szCs w:val="28"/>
        </w:rPr>
        <w:t xml:space="preserve">；2. </w:t>
      </w:r>
      <w:r w:rsidRPr="00EF15CB">
        <w:rPr>
          <w:rFonts w:asciiTheme="minorEastAsia" w:eastAsiaTheme="minorEastAsia" w:hAnsiTheme="minorEastAsia" w:hint="eastAsia"/>
          <w:color w:val="000000"/>
          <w:sz w:val="24"/>
          <w:szCs w:val="28"/>
        </w:rPr>
        <w:t>拥有自主知识产权可以参与国际竞争的高端诊疗设备及技术。</w:t>
      </w:r>
      <w:r w:rsidRPr="00EF15CB">
        <w:rPr>
          <w:rFonts w:asciiTheme="minorEastAsia" w:eastAsiaTheme="minorEastAsia" w:hAnsiTheme="minorEastAsia"/>
          <w:color w:val="000000"/>
          <w:sz w:val="24"/>
          <w:szCs w:val="28"/>
        </w:rPr>
        <w:t>形成了</w:t>
      </w:r>
      <w:r w:rsidRPr="00EF15CB">
        <w:rPr>
          <w:rFonts w:asciiTheme="minorEastAsia" w:eastAsiaTheme="minorEastAsia" w:hAnsiTheme="minorEastAsia" w:hint="eastAsia"/>
          <w:color w:val="000000"/>
          <w:sz w:val="24"/>
          <w:szCs w:val="28"/>
        </w:rPr>
        <w:t>适于在基层医疗机构使用的适宜化眼科诊疗设备</w:t>
      </w:r>
      <w:r w:rsidRPr="00EF15CB">
        <w:rPr>
          <w:rFonts w:asciiTheme="minorEastAsia" w:eastAsiaTheme="minorEastAsia" w:hAnsiTheme="minorEastAsia"/>
          <w:color w:val="000000"/>
          <w:sz w:val="24"/>
          <w:szCs w:val="28"/>
        </w:rPr>
        <w:t>、</w:t>
      </w:r>
      <w:r w:rsidRPr="00EF15CB">
        <w:rPr>
          <w:rFonts w:asciiTheme="minorEastAsia" w:eastAsiaTheme="minorEastAsia" w:hAnsiTheme="minorEastAsia" w:hint="eastAsia"/>
          <w:color w:val="000000"/>
          <w:sz w:val="24"/>
          <w:szCs w:val="28"/>
        </w:rPr>
        <w:t>光</w:t>
      </w:r>
      <w:r w:rsidRPr="00EF15CB">
        <w:rPr>
          <w:rFonts w:asciiTheme="minorEastAsia" w:eastAsiaTheme="minorEastAsia" w:hAnsiTheme="minorEastAsia"/>
          <w:color w:val="000000"/>
          <w:sz w:val="24"/>
          <w:szCs w:val="28"/>
        </w:rPr>
        <w:t>信息成像、眼用生物医用材料、</w:t>
      </w:r>
      <w:r w:rsidRPr="00EF15CB">
        <w:rPr>
          <w:rFonts w:asciiTheme="minorEastAsia" w:eastAsiaTheme="minorEastAsia" w:hAnsiTheme="minorEastAsia" w:hint="eastAsia"/>
          <w:color w:val="000000"/>
          <w:sz w:val="24"/>
          <w:szCs w:val="28"/>
        </w:rPr>
        <w:t>眼部图像处理4个</w:t>
      </w:r>
      <w:r w:rsidRPr="00EF15CB">
        <w:rPr>
          <w:rFonts w:asciiTheme="minorEastAsia" w:eastAsiaTheme="minorEastAsia" w:hAnsiTheme="minorEastAsia"/>
          <w:color w:val="000000"/>
          <w:sz w:val="24"/>
          <w:szCs w:val="28"/>
        </w:rPr>
        <w:t>研发方向。</w:t>
      </w:r>
    </w:p>
    <w:p w:rsidR="00DE3D8A" w:rsidRPr="00EF15CB" w:rsidRDefault="006A1630" w:rsidP="00EF15CB">
      <w:pPr>
        <w:ind w:firstLineChars="200" w:firstLine="480"/>
        <w:rPr>
          <w:rFonts w:asciiTheme="minorEastAsia" w:eastAsiaTheme="minorEastAsia" w:hAnsiTheme="minorEastAsia"/>
          <w:color w:val="000000"/>
          <w:sz w:val="24"/>
          <w:szCs w:val="28"/>
        </w:rPr>
      </w:pPr>
      <w:r w:rsidRPr="00EF15CB">
        <w:rPr>
          <w:rFonts w:asciiTheme="minorEastAsia" w:eastAsiaTheme="minorEastAsia" w:hAnsiTheme="minorEastAsia"/>
          <w:color w:val="000000"/>
          <w:sz w:val="24"/>
          <w:szCs w:val="28"/>
        </w:rPr>
        <w:t>3. 本年度技术公关进展情况和代表性成果</w:t>
      </w:r>
    </w:p>
    <w:p w:rsidR="00DE3D8A" w:rsidRPr="00EF15CB" w:rsidRDefault="006A1630" w:rsidP="00EF15CB">
      <w:pPr>
        <w:ind w:firstLineChars="200" w:firstLine="480"/>
        <w:rPr>
          <w:rFonts w:asciiTheme="minorEastAsia" w:eastAsiaTheme="minorEastAsia" w:hAnsiTheme="minorEastAsia"/>
          <w:color w:val="000000"/>
          <w:sz w:val="24"/>
          <w:szCs w:val="28"/>
        </w:rPr>
      </w:pPr>
      <w:r w:rsidRPr="00EF15CB">
        <w:rPr>
          <w:rFonts w:asciiTheme="minorEastAsia" w:eastAsiaTheme="minorEastAsia" w:hAnsiTheme="minorEastAsia" w:hint="eastAsia"/>
          <w:color w:val="000000"/>
          <w:sz w:val="24"/>
          <w:szCs w:val="28"/>
        </w:rPr>
        <w:t xml:space="preserve">2019年度中心主要聚焦于框架眼镜个性化验配共性关键技术的突破，研发了双眼波前全自动验光技术，可实现一体化双眼主客观精准验光，颠覆现有电脑验光仪客观验光+综合验光仪主观验光两步式分离验光模式。设备集成度高、操作简单，标准化验光操作流程，大幅降低对专业验光师的依赖；同时验光过程中屈光大小连续可调，消除了传统验光中0.25D步长带来的化整误差，并可直接给出精准配镜处方。进一步要发了“基于手机拍摄的人脸检测、图像识别、自动量化计算系统”、“基于红绿平衡原理的精准验光体系”、“基于人脸识别的不对称性镜片矫正系统”以及“超高精度镜片加工工艺”，实现了对传统框架眼镜验配模式的数字化规范和深度创新，形成了框架眼镜精准验配新模式。 验配数据的传输准确率由87%提升到100%；配镜者的镜片舒适满意度由48%提升到90%以上；镜架挑选的平均时间由43分缩短到15分，验配时间节省65%；镜架匹配度由60%提升到95%，  </w:t>
      </w:r>
    </w:p>
    <w:p w:rsidR="00DE3D8A" w:rsidRPr="00EF15CB" w:rsidRDefault="006A1630" w:rsidP="00EF15CB">
      <w:pPr>
        <w:ind w:firstLineChars="200" w:firstLine="480"/>
        <w:rPr>
          <w:rFonts w:ascii="宋体" w:hAnsi="宋体" w:cs="宋体"/>
          <w:sz w:val="20"/>
          <w:szCs w:val="21"/>
        </w:rPr>
      </w:pPr>
      <w:r w:rsidRPr="00EF15CB">
        <w:rPr>
          <w:rFonts w:asciiTheme="minorEastAsia" w:eastAsiaTheme="minorEastAsia" w:hAnsiTheme="minorEastAsia"/>
          <w:color w:val="000000"/>
          <w:sz w:val="24"/>
          <w:szCs w:val="28"/>
        </w:rPr>
        <w:t>全年获得9项课题立项，5项人才项目立项，共获得经费资助1792万。全年共发表论文104篇，其中SCI收录论文23篇,中华系列期刊论文19篇,核心期刊48篇。</w:t>
      </w:r>
    </w:p>
    <w:p w:rsidR="00DE3D8A" w:rsidRPr="005F1350" w:rsidRDefault="005F1350" w:rsidP="005F1350">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sidR="006A1630" w:rsidRPr="005F1350">
        <w:rPr>
          <w:rFonts w:ascii="Times New Roman" w:eastAsia="黑体" w:hAnsi="Times New Roman"/>
          <w:sz w:val="32"/>
          <w:szCs w:val="32"/>
        </w:rPr>
        <w:t>成果转化与行业贡献</w:t>
      </w:r>
    </w:p>
    <w:p w:rsidR="00DE3D8A" w:rsidRPr="005F1350" w:rsidRDefault="006A1630" w:rsidP="005F1350">
      <w:pPr>
        <w:numPr>
          <w:ilvl w:val="0"/>
          <w:numId w:val="4"/>
        </w:numPr>
        <w:spacing w:line="360" w:lineRule="auto"/>
        <w:ind w:firstLineChars="200" w:firstLine="643"/>
        <w:rPr>
          <w:rFonts w:ascii="楷体" w:eastAsia="楷体" w:hAnsi="楷体" w:cs="楷体-简"/>
          <w:sz w:val="32"/>
        </w:rPr>
      </w:pPr>
      <w:r w:rsidRPr="005F1350">
        <w:rPr>
          <w:rFonts w:ascii="Times New Roman" w:eastAsia="仿宋_GB2312" w:hAnsi="Times New Roman" w:hint="eastAsia"/>
          <w:b/>
          <w:bCs/>
          <w:sz w:val="32"/>
          <w:szCs w:val="32"/>
        </w:rPr>
        <w:t>总体情况</w:t>
      </w:r>
      <w:r w:rsidRPr="005F1350">
        <w:rPr>
          <w:rFonts w:ascii="楷体" w:eastAsia="楷体" w:hAnsi="楷体" w:cs="楷体-简" w:hint="eastAsia"/>
          <w:sz w:val="32"/>
        </w:rPr>
        <w:t>（总体介绍当年工程技术成果转移转化情况及其对行业、区域发展的贡献度和影响力，不超过1000字）</w:t>
      </w:r>
    </w:p>
    <w:p w:rsidR="00DE3D8A" w:rsidRPr="005F1350" w:rsidRDefault="006A1630" w:rsidP="005F1350">
      <w:pPr>
        <w:ind w:firstLineChars="200" w:firstLine="480"/>
        <w:rPr>
          <w:rFonts w:asciiTheme="minorEastAsia" w:eastAsiaTheme="minorEastAsia" w:hAnsiTheme="minorEastAsia" w:cs="楷体-简"/>
          <w:sz w:val="24"/>
          <w:szCs w:val="28"/>
        </w:rPr>
      </w:pPr>
      <w:r w:rsidRPr="005F1350">
        <w:rPr>
          <w:rFonts w:asciiTheme="minorEastAsia" w:eastAsiaTheme="minorEastAsia" w:hAnsiTheme="minorEastAsia" w:cs="楷体-简" w:hint="eastAsia"/>
          <w:sz w:val="24"/>
          <w:szCs w:val="28"/>
        </w:rPr>
        <w:lastRenderedPageBreak/>
        <w:t>中心聚焦国家创新驱动发展和振兴战略，努力提升核心竞争力。中心通过“走出去、请进来”的方式，积极寻求突破“产学研”合作的瓶颈之道，实现产业、科研、</w:t>
      </w:r>
      <w:r w:rsidRPr="005F1350">
        <w:rPr>
          <w:rFonts w:asciiTheme="minorEastAsia" w:eastAsiaTheme="minorEastAsia" w:hAnsiTheme="minorEastAsia" w:cs="楷体-简"/>
          <w:sz w:val="24"/>
          <w:szCs w:val="28"/>
        </w:rPr>
        <w:t>院</w:t>
      </w:r>
      <w:r w:rsidRPr="005F1350">
        <w:rPr>
          <w:rFonts w:asciiTheme="minorEastAsia" w:eastAsiaTheme="minorEastAsia" w:hAnsiTheme="minorEastAsia" w:cs="楷体-简" w:hint="eastAsia"/>
          <w:sz w:val="24"/>
          <w:szCs w:val="28"/>
        </w:rPr>
        <w:t>内外</w:t>
      </w:r>
      <w:r w:rsidRPr="005F1350">
        <w:rPr>
          <w:rFonts w:asciiTheme="minorEastAsia" w:eastAsiaTheme="minorEastAsia" w:hAnsiTheme="minorEastAsia" w:cs="楷体-简"/>
          <w:sz w:val="24"/>
          <w:szCs w:val="28"/>
        </w:rPr>
        <w:t>科研</w:t>
      </w:r>
      <w:r w:rsidRPr="005F1350">
        <w:rPr>
          <w:rFonts w:asciiTheme="minorEastAsia" w:eastAsiaTheme="minorEastAsia" w:hAnsiTheme="minorEastAsia" w:cs="楷体-简" w:hint="eastAsia"/>
          <w:sz w:val="24"/>
          <w:szCs w:val="28"/>
        </w:rPr>
        <w:t>队伍和资源的深度融合。2019 年，中心研究工作持续瞄准学科前沿和国家重大需求， 以推动</w:t>
      </w:r>
      <w:r w:rsidRPr="005F1350">
        <w:rPr>
          <w:rFonts w:asciiTheme="minorEastAsia" w:eastAsiaTheme="minorEastAsia" w:hAnsiTheme="minorEastAsia" w:cs="楷体-简"/>
          <w:sz w:val="24"/>
          <w:szCs w:val="28"/>
        </w:rPr>
        <w:t>眼科临床诊疗技术</w:t>
      </w:r>
      <w:r w:rsidRPr="005F1350">
        <w:rPr>
          <w:rFonts w:asciiTheme="minorEastAsia" w:eastAsiaTheme="minorEastAsia" w:hAnsiTheme="minorEastAsia" w:cs="楷体-简" w:hint="eastAsia"/>
          <w:sz w:val="24"/>
          <w:szCs w:val="28"/>
        </w:rPr>
        <w:t>发展为导向，注重创新和学科交叉融合，促进“产学研推”紧密结合。通过产学研推协同发展，中心承担横向科研项目</w:t>
      </w:r>
      <w:r w:rsidRPr="005F1350">
        <w:rPr>
          <w:rFonts w:asciiTheme="minorEastAsia" w:eastAsiaTheme="minorEastAsia" w:hAnsiTheme="minorEastAsia" w:cs="楷体-简"/>
          <w:sz w:val="24"/>
          <w:szCs w:val="28"/>
        </w:rPr>
        <w:t>6</w:t>
      </w:r>
      <w:r w:rsidRPr="005F1350">
        <w:rPr>
          <w:rFonts w:asciiTheme="minorEastAsia" w:eastAsiaTheme="minorEastAsia" w:hAnsiTheme="minorEastAsia" w:cs="楷体-简" w:hint="eastAsia"/>
          <w:sz w:val="24"/>
          <w:szCs w:val="28"/>
        </w:rPr>
        <w:t>项，共计经费</w:t>
      </w:r>
      <w:r w:rsidRPr="005F1350">
        <w:rPr>
          <w:rFonts w:asciiTheme="minorEastAsia" w:eastAsiaTheme="minorEastAsia" w:hAnsiTheme="minorEastAsia" w:cs="楷体-简"/>
          <w:sz w:val="24"/>
          <w:szCs w:val="28"/>
        </w:rPr>
        <w:t>147.79</w:t>
      </w:r>
      <w:r w:rsidRPr="005F1350">
        <w:rPr>
          <w:rFonts w:asciiTheme="minorEastAsia" w:eastAsiaTheme="minorEastAsia" w:hAnsiTheme="minorEastAsia" w:cs="楷体-简" w:hint="eastAsia"/>
          <w:sz w:val="24"/>
          <w:szCs w:val="28"/>
        </w:rPr>
        <w:t>万元。获有效专利</w:t>
      </w:r>
      <w:r w:rsidRPr="005F1350">
        <w:rPr>
          <w:rFonts w:asciiTheme="minorEastAsia" w:eastAsiaTheme="minorEastAsia" w:hAnsiTheme="minorEastAsia" w:cs="楷体-简"/>
          <w:sz w:val="24"/>
          <w:szCs w:val="28"/>
        </w:rPr>
        <w:t>3</w:t>
      </w:r>
      <w:r w:rsidRPr="005F1350">
        <w:rPr>
          <w:rFonts w:asciiTheme="minorEastAsia" w:eastAsiaTheme="minorEastAsia" w:hAnsiTheme="minorEastAsia" w:cs="楷体-简" w:hint="eastAsia"/>
          <w:sz w:val="24"/>
          <w:szCs w:val="28"/>
        </w:rPr>
        <w:t>项，其中国家发明专利或新品种权</w:t>
      </w:r>
      <w:r w:rsidRPr="005F1350">
        <w:rPr>
          <w:rFonts w:asciiTheme="minorEastAsia" w:eastAsiaTheme="minorEastAsia" w:hAnsiTheme="minorEastAsia" w:cs="楷体-简"/>
          <w:sz w:val="24"/>
          <w:szCs w:val="28"/>
        </w:rPr>
        <w:t>2</w:t>
      </w:r>
      <w:r w:rsidRPr="005F1350">
        <w:rPr>
          <w:rFonts w:asciiTheme="minorEastAsia" w:eastAsiaTheme="minorEastAsia" w:hAnsiTheme="minorEastAsia" w:cs="楷体-简" w:hint="eastAsia"/>
          <w:sz w:val="24"/>
          <w:szCs w:val="28"/>
        </w:rPr>
        <w:t>项。科技成果转化</w:t>
      </w:r>
      <w:r w:rsidRPr="005F1350">
        <w:rPr>
          <w:rFonts w:asciiTheme="minorEastAsia" w:eastAsiaTheme="minorEastAsia" w:hAnsiTheme="minorEastAsia" w:cs="楷体-简"/>
          <w:sz w:val="24"/>
          <w:szCs w:val="28"/>
        </w:rPr>
        <w:t>1</w:t>
      </w:r>
      <w:r w:rsidRPr="005F1350">
        <w:rPr>
          <w:rFonts w:asciiTheme="minorEastAsia" w:eastAsiaTheme="minorEastAsia" w:hAnsiTheme="minorEastAsia" w:cs="楷体-简" w:hint="eastAsia"/>
          <w:sz w:val="24"/>
          <w:szCs w:val="28"/>
        </w:rPr>
        <w:t>项，其中转让或授权许可</w:t>
      </w:r>
      <w:r w:rsidRPr="005F1350">
        <w:rPr>
          <w:rFonts w:asciiTheme="minorEastAsia" w:eastAsiaTheme="minorEastAsia" w:hAnsiTheme="minorEastAsia" w:cs="楷体-简"/>
          <w:sz w:val="24"/>
          <w:szCs w:val="28"/>
        </w:rPr>
        <w:t>1</w:t>
      </w:r>
      <w:r w:rsidRPr="005F1350">
        <w:rPr>
          <w:rFonts w:asciiTheme="minorEastAsia" w:eastAsiaTheme="minorEastAsia" w:hAnsiTheme="minorEastAsia" w:cs="楷体-简" w:hint="eastAsia"/>
          <w:sz w:val="24"/>
          <w:szCs w:val="28"/>
        </w:rPr>
        <w:t xml:space="preserve"> 项</w:t>
      </w:r>
      <w:r w:rsidRPr="005F1350">
        <w:rPr>
          <w:rFonts w:asciiTheme="minorEastAsia" w:eastAsiaTheme="minorEastAsia" w:hAnsiTheme="minorEastAsia" w:cs="楷体-简"/>
          <w:sz w:val="24"/>
          <w:szCs w:val="28"/>
        </w:rPr>
        <w:t>。</w:t>
      </w:r>
    </w:p>
    <w:p w:rsidR="00DE3D8A" w:rsidRPr="005F1350" w:rsidRDefault="006A1630" w:rsidP="005F1350">
      <w:pPr>
        <w:numPr>
          <w:ilvl w:val="0"/>
          <w:numId w:val="4"/>
        </w:numPr>
        <w:spacing w:line="360" w:lineRule="auto"/>
        <w:ind w:firstLineChars="200" w:firstLine="643"/>
        <w:rPr>
          <w:rFonts w:ascii="楷体" w:eastAsia="楷体" w:hAnsi="楷体" w:cs="楷体-简"/>
          <w:sz w:val="32"/>
          <w:szCs w:val="32"/>
        </w:rPr>
      </w:pPr>
      <w:r w:rsidRPr="005F1350">
        <w:rPr>
          <w:rFonts w:ascii="Times New Roman" w:eastAsia="仿宋_GB2312" w:hAnsi="Times New Roman" w:hint="eastAsia"/>
          <w:b/>
          <w:bCs/>
          <w:sz w:val="32"/>
          <w:szCs w:val="32"/>
        </w:rPr>
        <w:t>工程化案例</w:t>
      </w:r>
      <w:r w:rsidRPr="005F1350">
        <w:rPr>
          <w:rFonts w:ascii="楷体" w:eastAsia="楷体" w:hAnsi="楷体" w:hint="eastAsia"/>
          <w:bCs/>
          <w:sz w:val="32"/>
          <w:szCs w:val="32"/>
        </w:rPr>
        <w:t>（</w:t>
      </w:r>
      <w:r w:rsidRPr="005F1350">
        <w:rPr>
          <w:rFonts w:ascii="楷体" w:eastAsia="楷体" w:hAnsi="楷体" w:cs="楷体-简" w:hint="eastAsia"/>
          <w:sz w:val="32"/>
          <w:szCs w:val="32"/>
        </w:rPr>
        <w:t>当年新增典型案例，主要内容包括：技术成果名称、关键技术及水平；技术成果工程化、产业化、技术转移/转化模式和过程；成果转化的经济效益以及对行业技术发展和竞争能力提升作用）</w:t>
      </w:r>
    </w:p>
    <w:p w:rsidR="00DE3D8A" w:rsidRPr="005F1350" w:rsidRDefault="006A1630" w:rsidP="005F1350">
      <w:pPr>
        <w:numPr>
          <w:ilvl w:val="0"/>
          <w:numId w:val="5"/>
        </w:numPr>
        <w:snapToGrid w:val="0"/>
        <w:ind w:leftChars="200" w:left="420" w:firstLine="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精密、个性化框架眼镜验配系统</w:t>
      </w:r>
    </w:p>
    <w:p w:rsidR="00DE3D8A" w:rsidRPr="005F1350" w:rsidRDefault="006A1630" w:rsidP="005F1350">
      <w:pPr>
        <w:snapToGrid w:val="0"/>
        <w:ind w:firstLineChars="200" w:firstLine="48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基于对传统眼镜验配问题的深入思考，中心开发了“精密、个性化框架眼镜验配系统”。系统通过“基于微信小程序的人脸检测、图像识别、自动量化计算系统”，“基于虚拟3D重建的镜架与人脸轮廓匹配度评估系统”，“基于人脸识别的不对称性镜片矫正系统”以及“基于腾讯云的医学测量与精密机床加工数据桥接系统”，实现了对传统框架眼镜验配模式的数字化规范和深度创新，形成了新的框架眼镜互联网+精准验配新模式，具体特点如下：</w:t>
      </w:r>
    </w:p>
    <w:p w:rsidR="00DE3D8A" w:rsidRPr="005F1350" w:rsidRDefault="006A1630" w:rsidP="005F1350">
      <w:pPr>
        <w:numPr>
          <w:ilvl w:val="0"/>
          <w:numId w:val="6"/>
        </w:numPr>
        <w:snapToGrid w:val="0"/>
        <w:ind w:left="84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验光检查追求极致的对焦准确：独创的镜片前后表面协调技术</w:t>
      </w:r>
    </w:p>
    <w:p w:rsidR="00DE3D8A" w:rsidRPr="005F1350" w:rsidRDefault="006A1630" w:rsidP="005F1350">
      <w:pPr>
        <w:numPr>
          <w:ilvl w:val="0"/>
          <w:numId w:val="6"/>
        </w:numPr>
        <w:snapToGrid w:val="0"/>
        <w:ind w:left="84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使得镜片加工精度达到正负2度，镜片度数由传统25度提高到5度，使镜片度数更符合您的屈光状态，更小的减少视疲劳。</w:t>
      </w:r>
    </w:p>
    <w:p w:rsidR="00DE3D8A" w:rsidRPr="005F1350" w:rsidRDefault="006A1630" w:rsidP="005F1350">
      <w:pPr>
        <w:numPr>
          <w:ilvl w:val="0"/>
          <w:numId w:val="6"/>
        </w:numPr>
        <w:snapToGrid w:val="0"/>
        <w:ind w:left="84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镜片设计追求极致的个性化：根据单眼瞳距和瞳高数据，采取</w:t>
      </w:r>
    </w:p>
    <w:p w:rsidR="00DE3D8A" w:rsidRPr="005F1350" w:rsidRDefault="006A1630" w:rsidP="005F1350">
      <w:pPr>
        <w:numPr>
          <w:ilvl w:val="0"/>
          <w:numId w:val="6"/>
        </w:numPr>
        <w:snapToGrid w:val="0"/>
        <w:ind w:left="84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瞳孔追踪技术，使镜片的中心位置完全定位瞳孔中心，以减少偏中心引起的棱镜效应。使用数码车床进行单独加工，完全采取个人数据进行一镜一图纸进行设计，每一副都是唯一。</w:t>
      </w:r>
    </w:p>
    <w:p w:rsidR="00DE3D8A" w:rsidRPr="005F1350" w:rsidRDefault="006A1630" w:rsidP="005F1350">
      <w:pPr>
        <w:numPr>
          <w:ilvl w:val="0"/>
          <w:numId w:val="6"/>
        </w:numPr>
        <w:snapToGrid w:val="0"/>
        <w:ind w:left="84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镜架佩戴追求极致的稳固：基于微信小程序实现人脸检测、图像识别及面部参数自动量化计算系统，评估顾客选择的镜架是否合适，给出镜架设计的改进意见。使用3D打印及CNC技术制造镜架，避免运动及出汗时镜架下滑，达到“锚定”级的佩戴效果。</w:t>
      </w:r>
    </w:p>
    <w:p w:rsidR="00DE3D8A" w:rsidRPr="005F1350" w:rsidRDefault="006A1630" w:rsidP="005F1350">
      <w:pPr>
        <w:numPr>
          <w:ilvl w:val="0"/>
          <w:numId w:val="5"/>
        </w:numPr>
        <w:snapToGrid w:val="0"/>
        <w:ind w:leftChars="200" w:left="420" w:firstLine="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糖尿病视网膜病变自动分析技术</w:t>
      </w:r>
    </w:p>
    <w:p w:rsidR="00DE3D8A" w:rsidRPr="005F1350" w:rsidRDefault="006A1630" w:rsidP="005F1350">
      <w:pPr>
        <w:snapToGrid w:val="0"/>
        <w:ind w:firstLineChars="200" w:firstLine="48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以最新的2014年我国糖尿病视网膜病变临床诊疗指南为分期依据，由眼科先标注大量全国各地医院上传的眼底数据，再结合最新的AI算法，用自动分期与识别的微血管瘤，出血点，硬性渗出，软性渗出的数量面积计算相结合方式，辅助糖尿病人筛查是否转诊眼科确诊治疗。</w:t>
      </w:r>
    </w:p>
    <w:p w:rsidR="00DE3D8A" w:rsidRPr="005F1350" w:rsidRDefault="006A1630" w:rsidP="005F1350">
      <w:pPr>
        <w:snapToGrid w:val="0"/>
        <w:ind w:firstLineChars="200" w:firstLine="48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搭建了AutoEye智能眼底图像分析平台，该平台面向来自于全国数百家医院的眼底图像大数据，构建了基于Spark集群的BigDL深度学习框架。将人工智能算法以及</w:t>
      </w:r>
      <w:r w:rsidRPr="005F1350">
        <w:rPr>
          <w:rFonts w:asciiTheme="minorEastAsia" w:eastAsiaTheme="minorEastAsia" w:hAnsiTheme="minorEastAsia" w:cs="楷体-简" w:hint="eastAsia"/>
          <w:sz w:val="24"/>
        </w:rPr>
        <w:lastRenderedPageBreak/>
        <w:t>自主研发的深度学习模型RetinalNET以插件的形式部署在Spark集群上，为医院、医生和患者提供了在线的自动眼底分析、分流转诊的业务平台，通过本眼科云网筛查平台建设打造一个医院、阅片医生、自动分析眼底图片技术的高效协作诊疗环路。经“国家重大慢性病非传染性疾病防控研究”项目中的9313例受试者眼底图像测试，AI阅片的灵敏度为89.32%，特异度为94.78%。</w:t>
      </w:r>
    </w:p>
    <w:p w:rsidR="00DE3D8A" w:rsidRPr="005F1350" w:rsidRDefault="006A1630" w:rsidP="005F1350">
      <w:pPr>
        <w:numPr>
          <w:ilvl w:val="0"/>
          <w:numId w:val="5"/>
        </w:numPr>
        <w:snapToGrid w:val="0"/>
        <w:ind w:leftChars="200" w:left="420" w:firstLine="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精准近视防控视负荷监测与报警设备</w:t>
      </w:r>
    </w:p>
    <w:p w:rsidR="00DE3D8A" w:rsidRPr="005F1350" w:rsidRDefault="006A1630" w:rsidP="005F1350">
      <w:pPr>
        <w:snapToGrid w:val="0"/>
        <w:ind w:firstLineChars="200" w:firstLine="48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视负荷监测与报警设备是一款具有低功耗、低辐射、高精度、高运算储存能力的“近视预防和日常监测功能”的家庭儿童眼健康智能可穿戴眼镜设备，通过IOT物联网实现对儿童“户外活动时间”以及“近距离工作”这两大影响近视发生发展最重要风险指标的客观量化精准监测。借助智能健康物联网技术及远程家庭健康信息化管理应用，提供了一整套完整的儿童眼健康智能临床决策支持和信息挖掘的智慧医疗信息化解决方案，实现儿童-家长-眼视光医生共同参与的远程健康指导预防模式。</w:t>
      </w:r>
    </w:p>
    <w:p w:rsidR="00DE3D8A" w:rsidRPr="005F1350" w:rsidRDefault="006A1630" w:rsidP="005F1350">
      <w:pPr>
        <w:ind w:firstLineChars="150" w:firstLine="36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儿童端智能可穿戴设备通过移动互联网以无线（蓝牙）数据传输的方式实现数据平台与智能眼镜进行接口互联；家长端app实现家庭监测数据的实时传输、实时存储、实时分析和统计查询功能，并提供近视高危学生行为干预、干预效果评价、趋势评估、政策效果评估和方案建议等多种功能。后台端大数据系统对近视家庭监控设备所采集上传的环境行为因素进行定量及可视化图形分析，庞大数据库供数据分析比对支持，为指定更精准的近视防控方案提供客观依据，并创新性的提供预警干预、评估评价、建议指导等多种综合功能。运用数据挖掘中的决策树分类技术、BP神经网络模型，通过挖掘分析数据库儿童屈光档案的多维数据和不同医生所做的眼视光诊疗方案，训练生成多个预测模型。利用这些模型对近视新发儿童的数据进行分析，得到相应的初级诊断及健康干预意见。最终再利用机器学习中的集成学习方法，将这些模型的结果进行集成得到最终的辅助诊断意见，将其反馈给医生和眼视光诊疗机构，更能客观、真实地评估儿童在医疗机构外每天对眼球发育造成主要影响的因素，弥补临床近视防控的难点和空白。</w:t>
      </w:r>
    </w:p>
    <w:p w:rsidR="00DE3D8A" w:rsidRPr="005F1350" w:rsidRDefault="006A1630" w:rsidP="005F1350">
      <w:pPr>
        <w:numPr>
          <w:ilvl w:val="0"/>
          <w:numId w:val="5"/>
        </w:numPr>
        <w:snapToGrid w:val="0"/>
        <w:ind w:leftChars="200" w:left="420" w:firstLine="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创建跨筛板压力差无创测量技术：</w:t>
      </w:r>
    </w:p>
    <w:p w:rsidR="00DE3D8A" w:rsidRPr="005F1350" w:rsidRDefault="006A1630" w:rsidP="005F1350">
      <w:pPr>
        <w:ind w:firstLineChars="200" w:firstLine="480"/>
        <w:rPr>
          <w:rFonts w:asciiTheme="minorEastAsia" w:eastAsiaTheme="minorEastAsia" w:hAnsiTheme="minorEastAsia" w:cs="楷体-简"/>
          <w:b/>
          <w:sz w:val="24"/>
        </w:rPr>
      </w:pPr>
      <w:r w:rsidRPr="005F1350">
        <w:rPr>
          <w:rFonts w:asciiTheme="minorEastAsia" w:eastAsiaTheme="minorEastAsia" w:hAnsiTheme="minorEastAsia" w:cs="楷体-简" w:hint="eastAsia"/>
          <w:sz w:val="24"/>
        </w:rPr>
        <w:t>中心建立了基于核磁的无创跨筛板压力差测量方法，为临床分类和监测提供关键技术。为人群筛查设计不依赖核磁的测量方法，被多项国内外流调工作采纳。剑桥大学脑研究中心Geeraerts教授专题撰文评价为“elegant study”。成果纳入世界青光眼学会继续教育项目及美国眼科学会临床指南，写入4部国外专著、8项国内标准与规范共识。国眼科医师杂志及世界青光眼学会前任主席Weinreb评价：该研究是改变青光眼临床实践的里程碑式的发现</w:t>
      </w:r>
    </w:p>
    <w:p w:rsidR="00DE3D8A" w:rsidRPr="005F1350" w:rsidRDefault="006A1630" w:rsidP="005F1350">
      <w:pPr>
        <w:numPr>
          <w:ilvl w:val="0"/>
          <w:numId w:val="5"/>
        </w:numPr>
        <w:snapToGrid w:val="0"/>
        <w:ind w:leftChars="200" w:left="420" w:firstLine="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研发了房水流出通路重建手术，解决了传统滤过手术高并发症的技术难题</w:t>
      </w:r>
    </w:p>
    <w:p w:rsidR="00DE3D8A" w:rsidRPr="005F1350" w:rsidRDefault="006A1630" w:rsidP="005F1350">
      <w:pPr>
        <w:outlineLvl w:val="0"/>
        <w:rPr>
          <w:rFonts w:asciiTheme="minorEastAsia" w:eastAsiaTheme="minorEastAsia" w:hAnsiTheme="minorEastAsia" w:cs="楷体-简"/>
          <w:b/>
          <w:sz w:val="24"/>
        </w:rPr>
      </w:pPr>
      <w:r w:rsidRPr="005F1350">
        <w:rPr>
          <w:rFonts w:asciiTheme="minorEastAsia" w:eastAsiaTheme="minorEastAsia" w:hAnsiTheme="minorEastAsia" w:cs="楷体-简" w:hint="eastAsia"/>
          <w:sz w:val="24"/>
        </w:rPr>
        <w:t>针对青光眼滤过性手术并发症多、医源性致盲率高的难题，在长期临床实践总结基础上：</w:t>
      </w:r>
    </w:p>
    <w:p w:rsidR="00DE3D8A" w:rsidRPr="005F1350" w:rsidRDefault="006A1630" w:rsidP="005F1350">
      <w:pPr>
        <w:numPr>
          <w:ilvl w:val="0"/>
          <w:numId w:val="7"/>
        </w:numPr>
        <w:ind w:left="845"/>
        <w:rPr>
          <w:rFonts w:asciiTheme="minorEastAsia" w:eastAsiaTheme="minorEastAsia" w:hAnsiTheme="minorEastAsia" w:cs="楷体-简"/>
          <w:sz w:val="24"/>
        </w:rPr>
      </w:pPr>
      <w:r w:rsidRPr="005F1350">
        <w:rPr>
          <w:rFonts w:asciiTheme="minorEastAsia" w:eastAsiaTheme="minorEastAsia" w:hAnsiTheme="minorEastAsia" w:cs="楷体-简" w:hint="eastAsia"/>
          <w:b/>
          <w:sz w:val="24"/>
        </w:rPr>
        <w:t>提出启用房水流出通道“储备区”概念，创建了房水流出通路重建术：</w:t>
      </w:r>
      <w:r w:rsidRPr="005F1350">
        <w:rPr>
          <w:rFonts w:asciiTheme="minorEastAsia" w:eastAsiaTheme="minorEastAsia" w:hAnsiTheme="minorEastAsia" w:cs="楷体-简" w:hint="eastAsia"/>
          <w:sz w:val="24"/>
        </w:rPr>
        <w:t>发现施莱姆氏管成形术中，摒弃狄氏膜小窗和巩膜池引流能达到同等降眼压效果，提出房水引流通道存在“储备区”，若启用“储备区”可能增加房水流出，降低眼压。据此，以机械张力缝线或显微支架支撑，启用房水流出通道“储备区”，设计出房水流出通路重建术，将传统外滤过引流模式变为内引流模</w:t>
      </w:r>
      <w:r w:rsidRPr="005F1350">
        <w:rPr>
          <w:rFonts w:asciiTheme="minorEastAsia" w:eastAsiaTheme="minorEastAsia" w:hAnsiTheme="minorEastAsia" w:cs="楷体-简" w:hint="eastAsia"/>
          <w:sz w:val="24"/>
        </w:rPr>
        <w:lastRenderedPageBreak/>
        <w:t>式，在保证手术成功率的同时，杜绝了传统滤过手术相关并发症。</w:t>
      </w:r>
    </w:p>
    <w:p w:rsidR="00DE3D8A" w:rsidRPr="005F1350" w:rsidRDefault="006A1630" w:rsidP="005F1350">
      <w:pPr>
        <w:numPr>
          <w:ilvl w:val="0"/>
          <w:numId w:val="7"/>
        </w:numPr>
        <w:ind w:left="845"/>
        <w:rPr>
          <w:rFonts w:asciiTheme="minorEastAsia" w:eastAsiaTheme="minorEastAsia" w:hAnsiTheme="minorEastAsia" w:cs="楷体-简"/>
          <w:sz w:val="24"/>
        </w:rPr>
      </w:pPr>
      <w:r w:rsidRPr="005F1350">
        <w:rPr>
          <w:rFonts w:asciiTheme="minorEastAsia" w:eastAsiaTheme="minorEastAsia" w:hAnsiTheme="minorEastAsia" w:cs="楷体-简" w:hint="eastAsia"/>
          <w:b/>
          <w:sz w:val="24"/>
        </w:rPr>
        <w:t>为既往手术失败的病人设计了新手术：</w:t>
      </w:r>
      <w:r w:rsidRPr="005F1350">
        <w:rPr>
          <w:rFonts w:asciiTheme="minorEastAsia" w:eastAsiaTheme="minorEastAsia" w:hAnsiTheme="minorEastAsia" w:cs="楷体-简" w:hint="eastAsia"/>
          <w:sz w:val="24"/>
        </w:rPr>
        <w:t>针对传统手术多次失败的病人，以自主设计的发光套管针技术，建立跨越既往手术破坏区小梁网的房水内引流手术，获得接近初次手术的效果。</w:t>
      </w:r>
    </w:p>
    <w:p w:rsidR="00DE3D8A" w:rsidRPr="005F1350" w:rsidRDefault="006A1630" w:rsidP="005F1350">
      <w:pPr>
        <w:numPr>
          <w:ilvl w:val="0"/>
          <w:numId w:val="7"/>
        </w:numPr>
        <w:ind w:left="845"/>
        <w:rPr>
          <w:rFonts w:asciiTheme="minorEastAsia" w:eastAsiaTheme="minorEastAsia" w:hAnsiTheme="minorEastAsia" w:cs="楷体-简"/>
          <w:sz w:val="24"/>
        </w:rPr>
      </w:pPr>
      <w:r w:rsidRPr="005F1350">
        <w:rPr>
          <w:rFonts w:asciiTheme="minorEastAsia" w:eastAsiaTheme="minorEastAsia" w:hAnsiTheme="minorEastAsia" w:cs="楷体-简" w:hint="eastAsia"/>
          <w:b/>
          <w:sz w:val="24"/>
        </w:rPr>
        <w:t>为先天性青光眼患儿提供新的治疗机会：</w:t>
      </w:r>
      <w:r w:rsidRPr="005F1350">
        <w:rPr>
          <w:rFonts w:asciiTheme="minorEastAsia" w:eastAsiaTheme="minorEastAsia" w:hAnsiTheme="minorEastAsia" w:cs="楷体-简" w:hint="eastAsia"/>
          <w:sz w:val="24"/>
        </w:rPr>
        <w:t>用发光微导管引导及机械切割作用，解决了精确定位和切开下方残存小梁网两个技术难点，实现360度全周及次全周小梁切开，扩大了生理引流范围，和传统手术相比，成功率从51.6%提高到81%。挽救了将终生失明的先天性青光眼患儿175名。</w:t>
      </w:r>
    </w:p>
    <w:p w:rsidR="00DE3D8A" w:rsidRPr="005F1350" w:rsidRDefault="006A1630" w:rsidP="005F1350">
      <w:pPr>
        <w:ind w:firstLineChars="200" w:firstLine="48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上述3类手术在国内外交流和现场演示25次，被Ocular Surgery News专题报道。纳入5项标准规范和共识，写入国家继续教育教材及2部国内专著。 已推广至全国13个省市，全国完成1115例（同仁653例）。</w:t>
      </w:r>
    </w:p>
    <w:p w:rsidR="00DE3D8A" w:rsidRPr="005F1350" w:rsidRDefault="006A1630" w:rsidP="005F1350">
      <w:pPr>
        <w:numPr>
          <w:ilvl w:val="0"/>
          <w:numId w:val="4"/>
        </w:numPr>
        <w:spacing w:line="360" w:lineRule="auto"/>
        <w:ind w:firstLineChars="200" w:firstLine="643"/>
        <w:rPr>
          <w:rFonts w:ascii="楷体" w:eastAsia="楷体" w:hAnsi="楷体" w:cs="楷体-简"/>
          <w:sz w:val="32"/>
        </w:rPr>
      </w:pPr>
      <w:r w:rsidRPr="005F1350">
        <w:rPr>
          <w:rFonts w:ascii="Times New Roman" w:eastAsia="仿宋_GB2312" w:hAnsi="Times New Roman" w:hint="eastAsia"/>
          <w:b/>
          <w:bCs/>
          <w:sz w:val="32"/>
          <w:szCs w:val="32"/>
        </w:rPr>
        <w:t>行业服务情况</w:t>
      </w:r>
      <w:r w:rsidRPr="005F1350">
        <w:rPr>
          <w:rFonts w:ascii="楷体" w:eastAsia="楷体" w:hAnsi="楷体" w:cs="楷体-简" w:hint="eastAsia"/>
          <w:sz w:val="32"/>
        </w:rPr>
        <w:t>（本年度与企业的合作技术开发、提供技术咨询，为企业开展技术培训，以及参加行业协会、联盟活动情况）</w:t>
      </w:r>
    </w:p>
    <w:p w:rsidR="00DE3D8A" w:rsidRPr="005F1350" w:rsidRDefault="006A1630" w:rsidP="005F1350">
      <w:pPr>
        <w:ind w:firstLineChars="200" w:firstLine="48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电子产品眼健康安全性评估系统为华为、LG、小米、科大讯飞等国内外企业提供技术服务10余次；糖尿病视网膜病变智能分析系统部署到200余家医院的内分泌患者，服务患者突破80万人次。“精密、个性化框架眼镜验配系统”荣获2019年度中国互联网十大科技助力医疗健康创新案例。通过开展对外技术服务，共计收入147.79万元。</w:t>
      </w:r>
    </w:p>
    <w:p w:rsidR="00DE3D8A" w:rsidRPr="005F1350" w:rsidRDefault="006A1630" w:rsidP="005F1350">
      <w:pPr>
        <w:pStyle w:val="aa"/>
        <w:numPr>
          <w:ilvl w:val="0"/>
          <w:numId w:val="13"/>
        </w:numPr>
        <w:spacing w:line="560" w:lineRule="exact"/>
        <w:ind w:firstLineChars="0"/>
        <w:rPr>
          <w:rFonts w:ascii="Times New Roman" w:eastAsia="黑体" w:hAnsi="Times New Roman"/>
          <w:sz w:val="32"/>
          <w:szCs w:val="32"/>
        </w:rPr>
      </w:pPr>
      <w:r w:rsidRPr="005F1350">
        <w:rPr>
          <w:rFonts w:ascii="Times New Roman" w:eastAsia="黑体" w:hAnsi="Times New Roman"/>
          <w:sz w:val="32"/>
          <w:szCs w:val="32"/>
        </w:rPr>
        <w:t>学科发展与人才培养</w:t>
      </w:r>
    </w:p>
    <w:p w:rsidR="00DE3D8A" w:rsidRPr="005F1350" w:rsidRDefault="006A1630" w:rsidP="00EF15CB">
      <w:pPr>
        <w:numPr>
          <w:ilvl w:val="0"/>
          <w:numId w:val="8"/>
        </w:numPr>
        <w:spacing w:line="560" w:lineRule="exact"/>
        <w:ind w:left="0" w:firstLineChars="200" w:firstLine="643"/>
        <w:rPr>
          <w:rFonts w:ascii="楷体" w:eastAsia="楷体" w:hAnsi="楷体"/>
          <w:sz w:val="32"/>
          <w:szCs w:val="32"/>
        </w:rPr>
      </w:pPr>
      <w:r>
        <w:rPr>
          <w:rFonts w:ascii="Times New Roman" w:eastAsia="仿宋_GB2312" w:hAnsi="Times New Roman"/>
          <w:b/>
          <w:bCs/>
          <w:sz w:val="32"/>
          <w:szCs w:val="32"/>
        </w:rPr>
        <w:t>支撑学科发展情况</w:t>
      </w:r>
      <w:r w:rsidRPr="005F1350">
        <w:rPr>
          <w:rFonts w:ascii="楷体" w:eastAsia="楷体" w:hAnsi="楷体"/>
          <w:sz w:val="32"/>
          <w:szCs w:val="32"/>
        </w:rPr>
        <w:t>（</w:t>
      </w:r>
      <w:r w:rsidRPr="005F1350">
        <w:rPr>
          <w:rFonts w:ascii="楷体" w:eastAsia="楷体" w:hAnsi="楷体" w:hint="eastAsia"/>
          <w:sz w:val="32"/>
          <w:szCs w:val="32"/>
        </w:rPr>
        <w:t>本年度</w:t>
      </w:r>
      <w:r w:rsidRPr="005F1350">
        <w:rPr>
          <w:rFonts w:ascii="楷体" w:eastAsia="楷体" w:hAnsi="楷体"/>
          <w:sz w:val="32"/>
          <w:szCs w:val="32"/>
        </w:rPr>
        <w:t>中心对学科建设的支撑作用以及推动学科交叉与新兴学科建设的情况，不超过1000字）</w:t>
      </w:r>
    </w:p>
    <w:p w:rsidR="00DE3D8A" w:rsidRPr="00DC06AA" w:rsidRDefault="006A02A8" w:rsidP="006A02A8">
      <w:pPr>
        <w:ind w:firstLineChars="200" w:firstLine="480"/>
        <w:rPr>
          <w:rFonts w:asciiTheme="minorEastAsia" w:eastAsiaTheme="minorEastAsia" w:hAnsiTheme="minorEastAsia" w:hint="eastAsia"/>
          <w:sz w:val="32"/>
          <w:szCs w:val="32"/>
          <w:highlight w:val="yellow"/>
        </w:rPr>
      </w:pPr>
      <w:r w:rsidRPr="006A02A8">
        <w:rPr>
          <w:rFonts w:asciiTheme="minorEastAsia" w:eastAsiaTheme="minorEastAsia" w:hAnsiTheme="minorEastAsia" w:cs="楷体-简" w:hint="eastAsia"/>
          <w:sz w:val="24"/>
        </w:rPr>
        <w:t>中心2019年工程化专用研发场地3000m</w:t>
      </w:r>
      <w:r w:rsidRPr="001A3D44">
        <w:rPr>
          <w:rFonts w:asciiTheme="minorEastAsia" w:eastAsiaTheme="minorEastAsia" w:hAnsiTheme="minorEastAsia" w:cs="楷体-简" w:hint="eastAsia"/>
          <w:sz w:val="24"/>
          <w:vertAlign w:val="superscript"/>
        </w:rPr>
        <w:t>2</w:t>
      </w:r>
      <w:r w:rsidRPr="006A02A8">
        <w:rPr>
          <w:rFonts w:asciiTheme="minorEastAsia" w:eastAsiaTheme="minorEastAsia" w:hAnsiTheme="minorEastAsia" w:cs="楷体-简" w:hint="eastAsia"/>
          <w:sz w:val="24"/>
        </w:rPr>
        <w:t>，在全国建立眼科诊疗技术输出服务基地127个。建立了光信息学成像、自适应光学、高频超声成像、眼用材料平台4个测试平台，建立了阅片中心、视频会诊室等眼科诊疗技术服务推广平台。研发基地功能完整，装备技术水平达到国内一流。在眼科相关技术咨询、服务上提供了支撑，中心从美国、德国、日本等国家和地区共购置了10万元以上仪器设备37余台套，价值1077.5万元，其中31台/套设备达到国际先进水平，6台/套达到国内先进水平。负责编辑出版《国外医学眼科学分册》、《眼科》两本国家级专业眼科杂志，《眼科》杂志为中国科技核心期刊，中国科技论文统计源期刊。</w:t>
      </w:r>
      <w:r w:rsidR="001A3D44">
        <w:rPr>
          <w:rFonts w:asciiTheme="minorEastAsia" w:eastAsiaTheme="minorEastAsia" w:hAnsiTheme="minorEastAsia" w:cs="楷体-简" w:hint="eastAsia"/>
          <w:sz w:val="24"/>
        </w:rPr>
        <w:t>中心的工作大大推动了眼科学和工程与材料学的学科交叉和发展。</w:t>
      </w:r>
    </w:p>
    <w:p w:rsidR="00DE3D8A" w:rsidRDefault="006A1630" w:rsidP="00EF15CB">
      <w:pPr>
        <w:numPr>
          <w:ilvl w:val="0"/>
          <w:numId w:val="8"/>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人才培养情况</w:t>
      </w:r>
      <w:r>
        <w:rPr>
          <w:rFonts w:ascii="Times New Roman" w:eastAsia="楷体" w:hAnsi="Times New Roman"/>
          <w:sz w:val="32"/>
          <w:szCs w:val="32"/>
        </w:rPr>
        <w:t>（</w:t>
      </w:r>
      <w:r>
        <w:rPr>
          <w:rFonts w:ascii="Times New Roman" w:eastAsia="楷体" w:hAnsi="Times New Roman" w:hint="eastAsia"/>
          <w:sz w:val="32"/>
          <w:szCs w:val="32"/>
        </w:rPr>
        <w:t>本年度中心</w:t>
      </w:r>
      <w:r>
        <w:rPr>
          <w:rFonts w:ascii="Times New Roman" w:eastAsia="楷体" w:hAnsi="Times New Roman"/>
          <w:sz w:val="32"/>
          <w:szCs w:val="32"/>
        </w:rPr>
        <w:t>人才培养总体情况、研究生代表性成果、与国内外科研机构和行业企业开展联合培养情况，</w:t>
      </w:r>
      <w:r>
        <w:rPr>
          <w:rFonts w:ascii="Times New Roman" w:eastAsia="楷体" w:hAnsi="Times New Roman"/>
          <w:sz w:val="32"/>
          <w:szCs w:val="32"/>
        </w:rPr>
        <w:lastRenderedPageBreak/>
        <w:t>不超过</w:t>
      </w:r>
      <w:r>
        <w:rPr>
          <w:rFonts w:ascii="Times New Roman" w:eastAsia="楷体" w:hAnsi="Times New Roman"/>
          <w:sz w:val="32"/>
          <w:szCs w:val="32"/>
        </w:rPr>
        <w:t>1000</w:t>
      </w:r>
      <w:r>
        <w:rPr>
          <w:rFonts w:ascii="Times New Roman" w:eastAsia="楷体" w:hAnsi="Times New Roman"/>
          <w:sz w:val="32"/>
          <w:szCs w:val="32"/>
        </w:rPr>
        <w:t>字）</w:t>
      </w:r>
    </w:p>
    <w:p w:rsidR="00DE3D8A" w:rsidRPr="005F1350" w:rsidRDefault="006A1630" w:rsidP="005F1350">
      <w:pPr>
        <w:ind w:firstLineChars="200" w:firstLine="480"/>
        <w:rPr>
          <w:rFonts w:asciiTheme="minorEastAsia" w:eastAsiaTheme="minorEastAsia" w:hAnsiTheme="minorEastAsia" w:cs="楷体-简"/>
          <w:sz w:val="24"/>
        </w:rPr>
      </w:pPr>
      <w:r w:rsidRPr="005F1350">
        <w:rPr>
          <w:rFonts w:asciiTheme="minorEastAsia" w:eastAsiaTheme="minorEastAsia" w:hAnsiTheme="minorEastAsia" w:cs="楷体-简" w:hint="eastAsia"/>
          <w:sz w:val="24"/>
        </w:rPr>
        <w:t>2019年毕业研究生17人，其中4名博士研究生，13名硕士研究生；新招研究生23人，其中7名博士研究生，18</w:t>
      </w:r>
      <w:r w:rsidR="00C770E3" w:rsidRPr="005F1350">
        <w:rPr>
          <w:rFonts w:asciiTheme="minorEastAsia" w:eastAsiaTheme="minorEastAsia" w:hAnsiTheme="minorEastAsia" w:cs="楷体-简" w:hint="eastAsia"/>
          <w:sz w:val="24"/>
        </w:rPr>
        <w:t>名硕士研究生,目前在读博士11人、在读硕士18人。</w:t>
      </w:r>
      <w:r w:rsidRPr="005F1350">
        <w:rPr>
          <w:rFonts w:asciiTheme="minorEastAsia" w:eastAsiaTheme="minorEastAsia" w:hAnsiTheme="minorEastAsia" w:cs="楷体-简" w:hint="eastAsia"/>
          <w:sz w:val="24"/>
        </w:rPr>
        <w:t>继续教育: 申报国家级继续教育项目一项：眼底病影像学读片会I类学分3分；成功组织承办国内学术会议2个，包括眼科影像学诊断读片会年和眼科学院年会。成功举办建所60周年学术论坛暨首都医科大学眼科学院年会。全年组织</w:t>
      </w:r>
      <w:r w:rsidRPr="005F1350">
        <w:rPr>
          <w:rFonts w:asciiTheme="minorEastAsia" w:eastAsiaTheme="minorEastAsia" w:hAnsiTheme="minorEastAsia" w:cs="楷体-简"/>
          <w:sz w:val="24"/>
        </w:rPr>
        <w:t>开放式</w:t>
      </w:r>
      <w:r w:rsidRPr="005F1350">
        <w:rPr>
          <w:rFonts w:asciiTheme="minorEastAsia" w:eastAsiaTheme="minorEastAsia" w:hAnsiTheme="minorEastAsia" w:cs="楷体-简" w:hint="eastAsia"/>
          <w:sz w:val="24"/>
        </w:rPr>
        <w:t>业务学习共11次。邀请国外专家来中心学术交流11次。</w:t>
      </w:r>
    </w:p>
    <w:p w:rsidR="00DE3D8A" w:rsidRDefault="006A1630" w:rsidP="00EF15CB">
      <w:pPr>
        <w:numPr>
          <w:ilvl w:val="0"/>
          <w:numId w:val="8"/>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研究队伍建设情况</w:t>
      </w:r>
      <w:r>
        <w:rPr>
          <w:rFonts w:ascii="Times New Roman" w:eastAsia="楷体" w:hAnsi="Times New Roman"/>
          <w:sz w:val="32"/>
          <w:szCs w:val="32"/>
        </w:rPr>
        <w:t>（本年度</w:t>
      </w:r>
      <w:r>
        <w:rPr>
          <w:rFonts w:ascii="Times New Roman" w:eastAsia="楷体" w:hAnsi="Times New Roman" w:hint="eastAsia"/>
          <w:sz w:val="32"/>
          <w:szCs w:val="32"/>
        </w:rPr>
        <w:t>中心</w:t>
      </w:r>
      <w:r>
        <w:rPr>
          <w:rFonts w:ascii="Times New Roman" w:eastAsia="楷体" w:hAnsi="Times New Roman"/>
          <w:sz w:val="32"/>
          <w:szCs w:val="32"/>
        </w:rPr>
        <w:t>人才引进情况，</w:t>
      </w:r>
      <w:r>
        <w:rPr>
          <w:rFonts w:ascii="Times New Roman" w:eastAsia="楷体" w:hAnsi="Times New Roman"/>
          <w:sz w:val="32"/>
          <w:szCs w:val="32"/>
        </w:rPr>
        <w:t>40</w:t>
      </w:r>
      <w:r>
        <w:rPr>
          <w:rFonts w:ascii="Times New Roman" w:eastAsia="楷体" w:hAnsi="Times New Roman"/>
          <w:sz w:val="32"/>
          <w:szCs w:val="32"/>
        </w:rPr>
        <w:t>岁以下中青年教师培养、成长情况，不超过</w:t>
      </w:r>
      <w:r>
        <w:rPr>
          <w:rFonts w:ascii="Times New Roman" w:eastAsia="楷体" w:hAnsi="Times New Roman"/>
          <w:sz w:val="32"/>
          <w:szCs w:val="32"/>
        </w:rPr>
        <w:t>1000</w:t>
      </w:r>
      <w:r>
        <w:rPr>
          <w:rFonts w:ascii="Times New Roman" w:eastAsia="楷体" w:hAnsi="Times New Roman"/>
          <w:sz w:val="32"/>
          <w:szCs w:val="32"/>
        </w:rPr>
        <w:t>字）</w:t>
      </w:r>
    </w:p>
    <w:p w:rsidR="00DE3D8A" w:rsidRPr="005F1350" w:rsidRDefault="006A1630" w:rsidP="005F1350">
      <w:pPr>
        <w:ind w:firstLineChars="200" w:firstLine="480"/>
        <w:rPr>
          <w:rFonts w:asciiTheme="minorEastAsia" w:eastAsiaTheme="minorEastAsia" w:hAnsiTheme="minorEastAsia" w:cs="楷体-简"/>
          <w:sz w:val="24"/>
        </w:rPr>
      </w:pPr>
      <w:r w:rsidRPr="005F1350">
        <w:rPr>
          <w:rFonts w:asciiTheme="minorEastAsia" w:eastAsiaTheme="minorEastAsia" w:hAnsiTheme="minorEastAsia" w:cs="楷体-简"/>
          <w:sz w:val="24"/>
        </w:rPr>
        <w:t>目前工程中心在编人员65人，其中专职人员10人，兼职人员55人。科技活动人员、管理人员、生产经营活动人员比例为47：8：10，固定人员硕博士学位人员与其他学历人员比例为4:1。中心2019年在研究队伍方面取得的代表性成果如下：</w:t>
      </w:r>
    </w:p>
    <w:p w:rsidR="00DE3D8A" w:rsidRPr="005F1350" w:rsidRDefault="006A1630" w:rsidP="005F1350">
      <w:pPr>
        <w:numPr>
          <w:ilvl w:val="0"/>
          <w:numId w:val="9"/>
        </w:numPr>
        <w:ind w:left="840"/>
        <w:rPr>
          <w:rFonts w:asciiTheme="minorEastAsia" w:eastAsiaTheme="minorEastAsia" w:hAnsiTheme="minorEastAsia" w:cs="楷体-简"/>
          <w:sz w:val="24"/>
        </w:rPr>
      </w:pPr>
      <w:r w:rsidRPr="005F1350">
        <w:rPr>
          <w:rFonts w:asciiTheme="minorEastAsia" w:eastAsiaTheme="minorEastAsia" w:hAnsiTheme="minorEastAsia" w:cs="楷体-简"/>
          <w:sz w:val="24"/>
        </w:rPr>
        <w:t>王宁利教授入选国家级教学名师万人计划；</w:t>
      </w:r>
    </w:p>
    <w:p w:rsidR="00DE3D8A" w:rsidRPr="005F1350" w:rsidRDefault="006A1630" w:rsidP="005F1350">
      <w:pPr>
        <w:numPr>
          <w:ilvl w:val="0"/>
          <w:numId w:val="9"/>
        </w:numPr>
        <w:ind w:left="840"/>
        <w:rPr>
          <w:rFonts w:asciiTheme="minorEastAsia" w:eastAsiaTheme="minorEastAsia" w:hAnsiTheme="minorEastAsia" w:cs="楷体-简"/>
          <w:sz w:val="24"/>
        </w:rPr>
      </w:pPr>
      <w:r w:rsidRPr="005F1350">
        <w:rPr>
          <w:rFonts w:asciiTheme="minorEastAsia" w:eastAsiaTheme="minorEastAsia" w:hAnsiTheme="minorEastAsia" w:cs="楷体-简"/>
          <w:sz w:val="24"/>
        </w:rPr>
        <w:t>梁庆丰副教授入选国家级百千万人才计划；</w:t>
      </w:r>
    </w:p>
    <w:p w:rsidR="00DE3D8A" w:rsidRPr="005F1350" w:rsidRDefault="006A1630" w:rsidP="005F1350">
      <w:pPr>
        <w:numPr>
          <w:ilvl w:val="0"/>
          <w:numId w:val="9"/>
        </w:numPr>
        <w:ind w:left="840"/>
        <w:rPr>
          <w:rFonts w:asciiTheme="minorEastAsia" w:eastAsiaTheme="minorEastAsia" w:hAnsiTheme="minorEastAsia" w:cs="楷体-简"/>
          <w:sz w:val="24"/>
        </w:rPr>
      </w:pPr>
      <w:r w:rsidRPr="005F1350">
        <w:rPr>
          <w:rFonts w:asciiTheme="minorEastAsia" w:eastAsiaTheme="minorEastAsia" w:hAnsiTheme="minorEastAsia" w:cs="楷体-简"/>
          <w:sz w:val="24"/>
        </w:rPr>
        <w:t>刘含若入选北京市科技新星计划；</w:t>
      </w:r>
    </w:p>
    <w:p w:rsidR="00DE3D8A" w:rsidRPr="005F1350" w:rsidRDefault="006A1630" w:rsidP="005F1350">
      <w:pPr>
        <w:numPr>
          <w:ilvl w:val="0"/>
          <w:numId w:val="9"/>
        </w:numPr>
        <w:ind w:left="840"/>
        <w:rPr>
          <w:rFonts w:asciiTheme="minorEastAsia" w:eastAsiaTheme="minorEastAsia" w:hAnsiTheme="minorEastAsia" w:cs="楷体-简"/>
          <w:sz w:val="24"/>
        </w:rPr>
      </w:pPr>
      <w:r w:rsidRPr="005F1350">
        <w:rPr>
          <w:rFonts w:asciiTheme="minorEastAsia" w:eastAsiaTheme="minorEastAsia" w:hAnsiTheme="minorEastAsia" w:cs="楷体-简"/>
          <w:sz w:val="24"/>
        </w:rPr>
        <w:t>刘含若获北京市委组织部青年拔尖人才计划资助。</w:t>
      </w:r>
    </w:p>
    <w:p w:rsidR="00DE3D8A" w:rsidRDefault="005F1350" w:rsidP="005F1350">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四、开</w:t>
      </w:r>
      <w:r w:rsidR="006A1630">
        <w:rPr>
          <w:rFonts w:ascii="Times New Roman" w:eastAsia="黑体" w:hAnsi="Times New Roman"/>
          <w:sz w:val="32"/>
          <w:szCs w:val="32"/>
        </w:rPr>
        <w:t>放与运行管理</w:t>
      </w:r>
    </w:p>
    <w:p w:rsidR="00DE3D8A" w:rsidRPr="00940153" w:rsidRDefault="006A1630" w:rsidP="00EF15CB">
      <w:pPr>
        <w:numPr>
          <w:ilvl w:val="0"/>
          <w:numId w:val="10"/>
        </w:numPr>
        <w:spacing w:line="560" w:lineRule="exact"/>
        <w:ind w:firstLineChars="200" w:firstLine="643"/>
        <w:rPr>
          <w:rFonts w:ascii="Times New Roman" w:eastAsiaTheme="minorEastAsia" w:hAnsi="Times New Roman"/>
          <w:sz w:val="32"/>
          <w:szCs w:val="32"/>
        </w:rPr>
      </w:pPr>
      <w:r w:rsidRPr="00940153">
        <w:rPr>
          <w:rFonts w:ascii="Times New Roman" w:eastAsia="仿宋_GB2312" w:hAnsi="Times New Roman"/>
          <w:b/>
          <w:bCs/>
          <w:sz w:val="32"/>
          <w:szCs w:val="32"/>
        </w:rPr>
        <w:t>主管部门、依托单位支持情况</w:t>
      </w:r>
      <w:r w:rsidRPr="00940153">
        <w:rPr>
          <w:rFonts w:ascii="Times New Roman" w:eastAsia="楷体" w:hAnsi="Times New Roman"/>
          <w:sz w:val="32"/>
          <w:szCs w:val="32"/>
        </w:rPr>
        <w:t>（主管部门和依托单位</w:t>
      </w:r>
      <w:r w:rsidRPr="00940153">
        <w:rPr>
          <w:rFonts w:ascii="Times New Roman" w:eastAsia="楷体" w:hAnsi="Times New Roman" w:hint="eastAsia"/>
          <w:sz w:val="32"/>
          <w:szCs w:val="32"/>
        </w:rPr>
        <w:t>本年度</w:t>
      </w:r>
      <w:r w:rsidRPr="00940153">
        <w:rPr>
          <w:rFonts w:ascii="Times New Roman" w:eastAsia="楷体" w:hAnsi="Times New Roman"/>
          <w:sz w:val="32"/>
          <w:szCs w:val="32"/>
        </w:rPr>
        <w:t>为中心提供建设和运行经费、科研场所和仪器设备等条件保障情况，</w:t>
      </w:r>
      <w:r w:rsidRPr="00E849A9">
        <w:rPr>
          <w:rFonts w:ascii="Times New Roman" w:eastAsia="楷体" w:hAnsi="Times New Roman"/>
          <w:sz w:val="32"/>
          <w:szCs w:val="32"/>
        </w:rPr>
        <w:t>在学科建设、人才引进、研究生招生名额等方面给予优先支持的情况，</w:t>
      </w:r>
      <w:r w:rsidRPr="00940153">
        <w:rPr>
          <w:rFonts w:ascii="Times New Roman" w:eastAsia="楷体" w:hAnsi="Times New Roman"/>
          <w:sz w:val="32"/>
          <w:szCs w:val="32"/>
        </w:rPr>
        <w:t>不超过</w:t>
      </w:r>
      <w:r w:rsidRPr="00940153">
        <w:rPr>
          <w:rFonts w:ascii="Times New Roman" w:eastAsia="楷体" w:hAnsi="Times New Roman"/>
          <w:sz w:val="32"/>
          <w:szCs w:val="32"/>
        </w:rPr>
        <w:t>1000</w:t>
      </w:r>
      <w:r w:rsidRPr="00940153">
        <w:rPr>
          <w:rFonts w:ascii="Times New Roman" w:eastAsia="楷体" w:hAnsi="Times New Roman"/>
          <w:sz w:val="32"/>
          <w:szCs w:val="32"/>
        </w:rPr>
        <w:t>字）</w:t>
      </w:r>
    </w:p>
    <w:p w:rsidR="00DE3D8A" w:rsidRPr="00E849A9" w:rsidRDefault="006A1630" w:rsidP="00E849A9">
      <w:pPr>
        <w:pStyle w:val="a3"/>
        <w:spacing w:line="240" w:lineRule="auto"/>
        <w:ind w:firstLineChars="200" w:firstLine="480"/>
        <w:rPr>
          <w:rFonts w:asciiTheme="minorEastAsia" w:eastAsiaTheme="minorEastAsia" w:hAnsiTheme="minorEastAsia" w:cs="楷体-简"/>
          <w:sz w:val="24"/>
          <w:szCs w:val="24"/>
        </w:rPr>
      </w:pPr>
      <w:r w:rsidRPr="00E849A9">
        <w:rPr>
          <w:rFonts w:asciiTheme="minorEastAsia" w:eastAsiaTheme="minorEastAsia" w:hAnsiTheme="minorEastAsia" w:cs="楷体-简" w:hint="eastAsia"/>
          <w:sz w:val="24"/>
          <w:szCs w:val="24"/>
        </w:rPr>
        <w:t>依托单位</w:t>
      </w:r>
      <w:r w:rsidRPr="00E849A9">
        <w:rPr>
          <w:rFonts w:asciiTheme="minorEastAsia" w:eastAsiaTheme="minorEastAsia" w:hAnsiTheme="minorEastAsia" w:cs="楷体-简"/>
          <w:sz w:val="24"/>
          <w:szCs w:val="24"/>
        </w:rPr>
        <w:t>为中心提供了3000</w:t>
      </w:r>
      <w:r w:rsidRPr="00E849A9">
        <w:rPr>
          <w:rFonts w:asciiTheme="minorEastAsia" w:eastAsiaTheme="minorEastAsia" w:hAnsiTheme="minorEastAsia" w:cs="楷体-简" w:hint="eastAsia"/>
          <w:sz w:val="24"/>
          <w:szCs w:val="24"/>
        </w:rPr>
        <w:t>平米研发实验基地，</w:t>
      </w:r>
      <w:r w:rsidR="00EA3AF4" w:rsidRPr="00E849A9">
        <w:rPr>
          <w:rFonts w:asciiTheme="minorEastAsia" w:eastAsiaTheme="minorEastAsia" w:hAnsiTheme="minorEastAsia" w:cs="楷体-简" w:hint="eastAsia"/>
          <w:sz w:val="24"/>
          <w:szCs w:val="24"/>
        </w:rPr>
        <w:t>2019年，中心获得</w:t>
      </w:r>
      <w:r w:rsidR="00EA3AF4" w:rsidRPr="00E849A9">
        <w:rPr>
          <w:rFonts w:asciiTheme="minorEastAsia" w:eastAsiaTheme="minorEastAsia" w:hAnsiTheme="minorEastAsia" w:cs="楷体-简"/>
          <w:sz w:val="24"/>
          <w:szCs w:val="24"/>
        </w:rPr>
        <w:t>首都医科大学</w:t>
      </w:r>
      <w:r w:rsidR="00EA3AF4" w:rsidRPr="00E849A9">
        <w:rPr>
          <w:rFonts w:asciiTheme="minorEastAsia" w:eastAsiaTheme="minorEastAsia" w:hAnsiTheme="minorEastAsia" w:cs="楷体-简" w:hint="eastAsia"/>
          <w:sz w:val="24"/>
          <w:szCs w:val="24"/>
        </w:rPr>
        <w:t>及附属北京同仁医院</w:t>
      </w:r>
      <w:r w:rsidR="00EA3AF4" w:rsidRPr="00E849A9">
        <w:rPr>
          <w:rFonts w:asciiTheme="minorEastAsia" w:eastAsiaTheme="minorEastAsia" w:hAnsiTheme="minorEastAsia" w:cs="楷体-简"/>
          <w:sz w:val="24"/>
          <w:szCs w:val="24"/>
        </w:rPr>
        <w:t>提供</w:t>
      </w:r>
      <w:r w:rsidR="00EA3AF4" w:rsidRPr="00E849A9">
        <w:rPr>
          <w:rFonts w:asciiTheme="minorEastAsia" w:eastAsiaTheme="minorEastAsia" w:hAnsiTheme="minorEastAsia" w:cs="楷体-简" w:hint="eastAsia"/>
          <w:sz w:val="24"/>
          <w:szCs w:val="24"/>
        </w:rPr>
        <w:t>的</w:t>
      </w:r>
      <w:r w:rsidR="00EA3AF4" w:rsidRPr="00E849A9">
        <w:rPr>
          <w:rFonts w:asciiTheme="minorEastAsia" w:eastAsiaTheme="minorEastAsia" w:hAnsiTheme="minorEastAsia" w:cs="楷体-简"/>
          <w:sz w:val="24"/>
          <w:szCs w:val="24"/>
        </w:rPr>
        <w:t>运行经费</w:t>
      </w:r>
      <w:r w:rsidR="00EA3AF4" w:rsidRPr="00E849A9">
        <w:rPr>
          <w:rFonts w:asciiTheme="minorEastAsia" w:eastAsiaTheme="minorEastAsia" w:hAnsiTheme="minorEastAsia" w:cs="楷体-简" w:hint="eastAsia"/>
          <w:sz w:val="24"/>
          <w:szCs w:val="24"/>
        </w:rPr>
        <w:t>累积超过273</w:t>
      </w:r>
      <w:r w:rsidR="00EA3AF4" w:rsidRPr="00E849A9">
        <w:rPr>
          <w:rFonts w:asciiTheme="minorEastAsia" w:eastAsiaTheme="minorEastAsia" w:hAnsiTheme="minorEastAsia" w:cs="楷体-简"/>
          <w:sz w:val="24"/>
          <w:szCs w:val="24"/>
        </w:rPr>
        <w:t>万元。</w:t>
      </w:r>
      <w:r w:rsidR="00E849A9" w:rsidRPr="00E849A9">
        <w:rPr>
          <w:rFonts w:asciiTheme="minorEastAsia" w:eastAsiaTheme="minorEastAsia" w:hAnsiTheme="minorEastAsia" w:cs="楷体-简" w:hint="eastAsia"/>
          <w:sz w:val="24"/>
          <w:szCs w:val="24"/>
        </w:rPr>
        <w:t>学校在研究生招生及日常运行给予了大力支持，新招研究生23人，其中7名博士研究生，18名硕士研究生,目前在读博士11人、在读硕士18人。</w:t>
      </w:r>
    </w:p>
    <w:p w:rsidR="00DE3D8A" w:rsidRDefault="006A1630" w:rsidP="00EF15CB">
      <w:pPr>
        <w:numPr>
          <w:ilvl w:val="0"/>
          <w:numId w:val="10"/>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仪器设备开放共享情况</w:t>
      </w:r>
      <w:r>
        <w:rPr>
          <w:rFonts w:ascii="Times New Roman" w:eastAsia="楷体" w:hAnsi="Times New Roman"/>
          <w:sz w:val="32"/>
          <w:szCs w:val="32"/>
        </w:rPr>
        <w:t>（本年度中心</w:t>
      </w:r>
      <w:r>
        <w:rPr>
          <w:rFonts w:ascii="Times New Roman" w:eastAsia="楷体" w:hAnsi="Times New Roman"/>
          <w:sz w:val="32"/>
          <w:szCs w:val="32"/>
        </w:rPr>
        <w:t>30</w:t>
      </w:r>
      <w:r>
        <w:rPr>
          <w:rFonts w:ascii="Times New Roman" w:eastAsia="楷体" w:hAnsi="Times New Roman"/>
          <w:sz w:val="32"/>
          <w:szCs w:val="32"/>
        </w:rPr>
        <w:t>万以上大型仪器设备的使用、开放共享情况，研制新设备和升级改造旧设备等方面的情况）</w:t>
      </w:r>
    </w:p>
    <w:p w:rsidR="00DE3D8A" w:rsidRPr="00EA3AF4" w:rsidRDefault="006A1630" w:rsidP="00EA3AF4">
      <w:pPr>
        <w:ind w:firstLineChars="200" w:firstLine="480"/>
        <w:rPr>
          <w:rFonts w:asciiTheme="minorEastAsia" w:eastAsiaTheme="minorEastAsia" w:hAnsiTheme="minorEastAsia"/>
          <w:sz w:val="32"/>
          <w:szCs w:val="32"/>
          <w:highlight w:val="darkGreen"/>
        </w:rPr>
      </w:pPr>
      <w:r w:rsidRPr="00EA3AF4">
        <w:rPr>
          <w:rFonts w:asciiTheme="minorEastAsia" w:eastAsiaTheme="minorEastAsia" w:hAnsiTheme="minorEastAsia" w:cs="楷体-简" w:hint="eastAsia"/>
          <w:sz w:val="24"/>
        </w:rPr>
        <w:t>中心现在</w:t>
      </w:r>
      <w:r w:rsidRPr="00EA3AF4">
        <w:rPr>
          <w:rFonts w:asciiTheme="minorEastAsia" w:eastAsiaTheme="minorEastAsia" w:hAnsiTheme="minorEastAsia" w:cs="楷体-简"/>
          <w:sz w:val="24"/>
        </w:rPr>
        <w:t>拥有仪器</w:t>
      </w:r>
      <w:r w:rsidRPr="00EA3AF4">
        <w:rPr>
          <w:rFonts w:asciiTheme="minorEastAsia" w:eastAsiaTheme="minorEastAsia" w:hAnsiTheme="minorEastAsia" w:cs="楷体-简" w:hint="eastAsia"/>
          <w:sz w:val="24"/>
        </w:rPr>
        <w:t>设备共计</w:t>
      </w:r>
      <w:r w:rsidRPr="00EA3AF4">
        <w:rPr>
          <w:rFonts w:asciiTheme="minorEastAsia" w:eastAsiaTheme="minorEastAsia" w:hAnsiTheme="minorEastAsia" w:cs="楷体-简"/>
          <w:sz w:val="24"/>
        </w:rPr>
        <w:t>二十</w:t>
      </w:r>
      <w:r w:rsidRPr="00EA3AF4">
        <w:rPr>
          <w:rFonts w:asciiTheme="minorEastAsia" w:eastAsiaTheme="minorEastAsia" w:hAnsiTheme="minorEastAsia" w:cs="楷体-简" w:hint="eastAsia"/>
          <w:sz w:val="24"/>
        </w:rPr>
        <w:t xml:space="preserve">余台(套)，价值累计 </w:t>
      </w:r>
      <w:r w:rsidRPr="00EA3AF4">
        <w:rPr>
          <w:rFonts w:asciiTheme="minorEastAsia" w:eastAsiaTheme="minorEastAsia" w:hAnsiTheme="minorEastAsia" w:cs="楷体-简"/>
          <w:sz w:val="24"/>
        </w:rPr>
        <w:t>2000</w:t>
      </w:r>
      <w:r w:rsidRPr="00EA3AF4">
        <w:rPr>
          <w:rFonts w:asciiTheme="minorEastAsia" w:eastAsiaTheme="minorEastAsia" w:hAnsiTheme="minorEastAsia" w:cs="楷体-简" w:hint="eastAsia"/>
          <w:sz w:val="24"/>
        </w:rPr>
        <w:t>万元以上。研究条件的规模化、先进性及综合性均位居国内外前列。建立大型、精密仪器设备使用效率评估机制，设立大型、精密仪器设备开放使用基金，促进资源共享，提高使用效率，并对其使用效益进行评估，以更好地为科研工作服务。这些大型仪器设备通过都科技条</w:t>
      </w:r>
      <w:r w:rsidRPr="00EA3AF4">
        <w:rPr>
          <w:rFonts w:asciiTheme="minorEastAsia" w:eastAsiaTheme="minorEastAsia" w:hAnsiTheme="minorEastAsia" w:cs="楷体-简" w:hint="eastAsia"/>
          <w:sz w:val="24"/>
        </w:rPr>
        <w:lastRenderedPageBreak/>
        <w:t>件平台达成整合与共享。</w:t>
      </w:r>
    </w:p>
    <w:p w:rsidR="00DE3D8A" w:rsidRDefault="006A1630" w:rsidP="00EF15CB">
      <w:pPr>
        <w:numPr>
          <w:ilvl w:val="0"/>
          <w:numId w:val="10"/>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学风建设情况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中心加强学风建设的举措和成果，含讲座等情况）</w:t>
      </w:r>
    </w:p>
    <w:p w:rsidR="00DE3D8A" w:rsidRPr="00EA3AF4" w:rsidRDefault="006A1630" w:rsidP="00EA3AF4">
      <w:pPr>
        <w:ind w:firstLineChars="200" w:firstLine="480"/>
        <w:rPr>
          <w:rFonts w:asciiTheme="minorEastAsia" w:eastAsiaTheme="minorEastAsia" w:hAnsiTheme="minorEastAsia" w:cs="楷体-简"/>
          <w:sz w:val="24"/>
        </w:rPr>
      </w:pPr>
      <w:r w:rsidRPr="00EA3AF4">
        <w:rPr>
          <w:rFonts w:asciiTheme="minorEastAsia" w:eastAsiaTheme="minorEastAsia" w:hAnsiTheme="minorEastAsia" w:cs="楷体-简"/>
          <w:sz w:val="24"/>
        </w:rPr>
        <w:t>中心在2019年度</w:t>
      </w:r>
      <w:r w:rsidRPr="00EA3AF4">
        <w:rPr>
          <w:rFonts w:asciiTheme="minorEastAsia" w:eastAsiaTheme="minorEastAsia" w:hAnsiTheme="minorEastAsia" w:cs="楷体-简" w:hint="eastAsia"/>
          <w:sz w:val="24"/>
        </w:rPr>
        <w:t>的</w:t>
      </w:r>
      <w:r w:rsidRPr="00EA3AF4">
        <w:rPr>
          <w:rFonts w:asciiTheme="minorEastAsia" w:eastAsiaTheme="minorEastAsia" w:hAnsiTheme="minorEastAsia" w:cs="楷体-简"/>
          <w:sz w:val="24"/>
        </w:rPr>
        <w:t>研究生管理</w:t>
      </w:r>
      <w:r w:rsidRPr="00EA3AF4">
        <w:rPr>
          <w:rFonts w:asciiTheme="minorEastAsia" w:eastAsiaTheme="minorEastAsia" w:hAnsiTheme="minorEastAsia" w:cs="楷体-简" w:hint="eastAsia"/>
          <w:sz w:val="24"/>
        </w:rPr>
        <w:t>工作中注重在班风、学风、基础文明、组织纪律、文体活动等各个方面正确引导学生，结合</w:t>
      </w:r>
      <w:r w:rsidRPr="00EA3AF4">
        <w:rPr>
          <w:rFonts w:asciiTheme="minorEastAsia" w:eastAsiaTheme="minorEastAsia" w:hAnsiTheme="minorEastAsia" w:cs="楷体-简"/>
          <w:sz w:val="24"/>
        </w:rPr>
        <w:t>眼科学</w:t>
      </w:r>
      <w:r w:rsidRPr="00EA3AF4">
        <w:rPr>
          <w:rFonts w:asciiTheme="minorEastAsia" w:eastAsiaTheme="minorEastAsia" w:hAnsiTheme="minorEastAsia" w:cs="楷体-简" w:hint="eastAsia"/>
          <w:sz w:val="24"/>
        </w:rPr>
        <w:t>专业特点，制定班级目标管理责任制，实行工作考核制度，进行量化管理</w:t>
      </w:r>
      <w:r w:rsidRPr="00EA3AF4">
        <w:rPr>
          <w:rFonts w:asciiTheme="minorEastAsia" w:eastAsiaTheme="minorEastAsia" w:hAnsiTheme="minorEastAsia" w:cs="楷体-简"/>
          <w:sz w:val="24"/>
        </w:rPr>
        <w:t>。</w:t>
      </w:r>
    </w:p>
    <w:p w:rsidR="00C13BF6" w:rsidRDefault="006A1630" w:rsidP="00EF15CB">
      <w:pPr>
        <w:numPr>
          <w:ilvl w:val="0"/>
          <w:numId w:val="10"/>
        </w:numPr>
        <w:spacing w:before="100" w:beforeAutospacing="1" w:after="100" w:afterAutospacing="1" w:line="360" w:lineRule="auto"/>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技术委员会工作情况</w:t>
      </w:r>
      <w:r>
        <w:rPr>
          <w:rFonts w:ascii="Times New Roman" w:eastAsia="楷体" w:hAnsi="Times New Roman"/>
          <w:sz w:val="32"/>
          <w:szCs w:val="32"/>
        </w:rPr>
        <w:t>（本年度召开技术委员会情况）</w:t>
      </w:r>
    </w:p>
    <w:p w:rsidR="00C13BF6" w:rsidRPr="00EA3AF4" w:rsidRDefault="007B312A" w:rsidP="007B312A">
      <w:pPr>
        <w:ind w:firstLineChars="200" w:firstLine="480"/>
        <w:rPr>
          <w:rFonts w:asciiTheme="minorEastAsia" w:eastAsiaTheme="minorEastAsia" w:hAnsiTheme="minorEastAsia" w:cs="楷体-简"/>
          <w:sz w:val="24"/>
        </w:rPr>
      </w:pPr>
      <w:r w:rsidRPr="007B312A">
        <w:rPr>
          <w:rFonts w:asciiTheme="minorEastAsia" w:eastAsiaTheme="minorEastAsia" w:hAnsiTheme="minorEastAsia" w:cs="楷体-简" w:hint="eastAsia"/>
          <w:sz w:val="24"/>
        </w:rPr>
        <w:t>2019年6月</w:t>
      </w:r>
      <w:r>
        <w:rPr>
          <w:rFonts w:asciiTheme="minorEastAsia" w:eastAsiaTheme="minorEastAsia" w:hAnsiTheme="minorEastAsia" w:cs="楷体-简" w:hint="eastAsia"/>
          <w:sz w:val="24"/>
        </w:rPr>
        <w:t>于</w:t>
      </w:r>
      <w:r w:rsidRPr="007B312A">
        <w:rPr>
          <w:rFonts w:asciiTheme="minorEastAsia" w:eastAsiaTheme="minorEastAsia" w:hAnsiTheme="minorEastAsia" w:cs="楷体-简" w:hint="eastAsia"/>
          <w:sz w:val="24"/>
        </w:rPr>
        <w:t>北京市眼科研究所五楼会议室</w:t>
      </w:r>
      <w:r>
        <w:rPr>
          <w:rFonts w:asciiTheme="minorEastAsia" w:eastAsiaTheme="minorEastAsia" w:hAnsiTheme="minorEastAsia" w:cs="楷体-简" w:hint="eastAsia"/>
          <w:sz w:val="24"/>
        </w:rPr>
        <w:t>召开本年度工程研究中心技术委员会，</w:t>
      </w:r>
      <w:r w:rsidR="007D3D73" w:rsidRPr="007D3D73">
        <w:rPr>
          <w:rFonts w:asciiTheme="minorEastAsia" w:eastAsiaTheme="minorEastAsia" w:hAnsiTheme="minorEastAsia" w:cs="楷体-简" w:hint="eastAsia"/>
          <w:sz w:val="24"/>
        </w:rPr>
        <w:t>针对工程中心发展方向及开展合作相关问题讨论，建议加强与企业合作，着力推进在儿童近视眼防控及相关成果转化上加大力度</w:t>
      </w:r>
      <w:r w:rsidR="007D3D73">
        <w:rPr>
          <w:rFonts w:asciiTheme="minorEastAsia" w:eastAsiaTheme="minorEastAsia" w:hAnsiTheme="minorEastAsia" w:cs="楷体-简" w:hint="eastAsia"/>
          <w:sz w:val="24"/>
        </w:rPr>
        <w:t>。</w:t>
      </w:r>
    </w:p>
    <w:p w:rsidR="00EA3AF4" w:rsidRDefault="00EA3AF4" w:rsidP="00EA3AF4">
      <w:pPr>
        <w:spacing w:line="360" w:lineRule="auto"/>
        <w:ind w:firstLineChars="200" w:firstLine="640"/>
        <w:rPr>
          <w:rFonts w:ascii="Times New Roman" w:eastAsia="楷体" w:hAnsi="Times New Roman"/>
          <w:sz w:val="32"/>
          <w:szCs w:val="32"/>
        </w:rPr>
      </w:pPr>
      <w:r>
        <w:rPr>
          <w:rFonts w:ascii="Times New Roman" w:eastAsia="黑体" w:hAnsi="Times New Roman" w:hint="eastAsia"/>
          <w:sz w:val="32"/>
          <w:szCs w:val="32"/>
        </w:rPr>
        <w:t>五、</w:t>
      </w:r>
      <w:r>
        <w:rPr>
          <w:rFonts w:ascii="Times New Roman" w:eastAsia="黑体" w:hAnsi="Times New Roman"/>
          <w:sz w:val="32"/>
          <w:szCs w:val="32"/>
        </w:rPr>
        <w:t>下一年度工作计划</w:t>
      </w:r>
      <w:r>
        <w:rPr>
          <w:rFonts w:ascii="Times New Roman" w:eastAsia="楷体" w:hAnsi="Times New Roman"/>
          <w:sz w:val="32"/>
          <w:szCs w:val="32"/>
        </w:rPr>
        <w:t>（技术研发、成果转化、人才培养、团队建设和制度优化的总体计划，不超过</w:t>
      </w:r>
      <w:r>
        <w:rPr>
          <w:rFonts w:ascii="Times New Roman" w:eastAsia="楷体" w:hAnsi="Times New Roman"/>
          <w:sz w:val="32"/>
          <w:szCs w:val="32"/>
        </w:rPr>
        <w:t>1500</w:t>
      </w:r>
      <w:r>
        <w:rPr>
          <w:rFonts w:ascii="Times New Roman" w:eastAsia="楷体" w:hAnsi="Times New Roman"/>
          <w:sz w:val="32"/>
          <w:szCs w:val="32"/>
        </w:rPr>
        <w:t>字）</w:t>
      </w:r>
    </w:p>
    <w:p w:rsidR="00DE3D8A" w:rsidRPr="00EA3AF4" w:rsidRDefault="006A1630" w:rsidP="00EA3AF4">
      <w:pPr>
        <w:ind w:left="641"/>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中心在下一年度将进一步加强合作单位之间的互动与联合，以“技术研发、产品测试、产业推广”为主线，重点加強以下三项工作：</w:t>
      </w:r>
    </w:p>
    <w:p w:rsidR="00DE3D8A" w:rsidRPr="00EA3AF4" w:rsidRDefault="006A1630" w:rsidP="00EA3AF4">
      <w:pPr>
        <w:snapToGrid w:val="0"/>
        <w:ind w:firstLineChars="200" w:firstLine="480"/>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1)加强科研投入，重点发展研发团队建设</w:t>
      </w:r>
    </w:p>
    <w:p w:rsidR="00DE3D8A" w:rsidRPr="00EA3AF4" w:rsidRDefault="006A1630" w:rsidP="00EA3AF4">
      <w:pPr>
        <w:snapToGrid w:val="0"/>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 xml:space="preserve">    对于每年的科研投入进行合理规划，保持组建期年资金投入水平，大力推进工程中心研发团队建设，加大新工艺、新技术的引进。对于中心已有的专业技术人才进行重点培养，对其进行各类专业技能知识的培训。通过各种渠道收集人才信息，重点引进非球面镜片加工、变形镜、扫频光源相关技术的专业人才。</w:t>
      </w:r>
    </w:p>
    <w:p w:rsidR="00DE3D8A" w:rsidRPr="00EA3AF4" w:rsidRDefault="006A1630" w:rsidP="00EA3AF4">
      <w:pPr>
        <w:snapToGrid w:val="0"/>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 xml:space="preserve">    继续深入开展产、学、研合作，依托高校的科研平台，开展优势互补， 进一步完善中心的研发体系。同时与科研院所积极合作，为中心导入最新的研发信息和方向。</w:t>
      </w:r>
    </w:p>
    <w:p w:rsidR="00DE3D8A" w:rsidRPr="00EA3AF4" w:rsidRDefault="006A1630" w:rsidP="00EA3AF4">
      <w:pPr>
        <w:snapToGrid w:val="0"/>
        <w:ind w:firstLineChars="200" w:firstLine="480"/>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2)进一步加强中心机构的健全和机制的转化，把中心真正推向市场。</w:t>
      </w:r>
    </w:p>
    <w:p w:rsidR="00DE3D8A" w:rsidRPr="00EA3AF4" w:rsidRDefault="006A1630" w:rsidP="00EA3AF4">
      <w:pPr>
        <w:snapToGrid w:val="0"/>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 xml:space="preserve">    中心作为一个产学研相结合的实体，应顺应时代的发展和市场的需要，积极探索市场化运行的可行性，在加强中心自身建设、完善徤全各类管理制度的基础上，不断强化工程技术研究能力和人才队伍建设，使中心逐步走向市场化运作的轨道，不断优化中心的运行机制和造血功能，使中心运转更加具有活力。</w:t>
      </w:r>
    </w:p>
    <w:p w:rsidR="00DE3D8A" w:rsidRPr="00EA3AF4" w:rsidRDefault="006A1630" w:rsidP="00EA3AF4">
      <w:pPr>
        <w:snapToGrid w:val="0"/>
        <w:ind w:firstLineChars="200" w:firstLine="480"/>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重点幵展先进、成熟、适用、有良好国内外市场前景的科技成果进行产业化开发与应用发展，选择能产生现实生产力和良好的经济、社会效益的项目推向市场。加快主客观一体验光仪、高精密个性化眼镜验配系统、角膜塑形镜辅助验配系统、青少年近视防控系统、超透镜广角眼底成像系统的产业化速度。将具有带动作用大、覆盖面广、关联度高特点的核心技术展开技术和市场化操作，研发变形镜、扫频光源等眼科诊疗设备核心部件。</w:t>
      </w:r>
    </w:p>
    <w:p w:rsidR="00DE3D8A" w:rsidRPr="00EA3AF4" w:rsidRDefault="006A1630" w:rsidP="00EA3AF4">
      <w:pPr>
        <w:snapToGrid w:val="0"/>
        <w:ind w:firstLineChars="200" w:firstLine="480"/>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3)继续做好“眼病诊疗公共服务平台”的建设与推广应用；</w:t>
      </w:r>
    </w:p>
    <w:p w:rsidR="005130F9" w:rsidRPr="00EA3AF4" w:rsidRDefault="006A1630" w:rsidP="00EA3AF4">
      <w:pPr>
        <w:ind w:firstLine="480"/>
        <w:rPr>
          <w:rFonts w:asciiTheme="minorEastAsia" w:eastAsiaTheme="minorEastAsia" w:hAnsiTheme="minorEastAsia" w:cs="楷体-简"/>
          <w:sz w:val="24"/>
        </w:rPr>
      </w:pPr>
      <w:r w:rsidRPr="00EA3AF4">
        <w:rPr>
          <w:rFonts w:asciiTheme="minorEastAsia" w:eastAsiaTheme="minorEastAsia" w:hAnsiTheme="minorEastAsia" w:cs="楷体-简" w:hint="eastAsia"/>
          <w:sz w:val="24"/>
        </w:rPr>
        <w:t>中心要继续开展眼病远程会诊及转诊平台运行维护、专业化应用、 社会化服务</w:t>
      </w:r>
      <w:r w:rsidRPr="00EA3AF4">
        <w:rPr>
          <w:rFonts w:asciiTheme="minorEastAsia" w:eastAsiaTheme="minorEastAsia" w:hAnsiTheme="minorEastAsia" w:cs="楷体-简" w:hint="eastAsia"/>
          <w:sz w:val="24"/>
        </w:rPr>
        <w:lastRenderedPageBreak/>
        <w:t>及数据更新等相关技术的研究，积极推进眼病远程会诊系统的广泛应用，在不断完善平台建设技术的基础上，研究公共服务平台自动分析、日常维护和数据更新新模式并开发相应的专业化工具，并积极做好相关的技术培训和推广工作，发挥中心在眼科数字医疗等方面特殊作用，促进各地眼病远程会诊公共服务平台的建设。</w:t>
      </w:r>
    </w:p>
    <w:p w:rsidR="00C13BF6" w:rsidRPr="005130F9" w:rsidRDefault="005130F9" w:rsidP="005130F9">
      <w:pPr>
        <w:spacing w:line="360" w:lineRule="auto"/>
        <w:ind w:firstLine="480"/>
        <w:rPr>
          <w:rFonts w:ascii="楷体-简" w:eastAsia="楷体-简" w:hAnsi="楷体-简" w:cs="楷体-简"/>
          <w:sz w:val="24"/>
        </w:rPr>
      </w:pPr>
      <w:r w:rsidRPr="005130F9">
        <w:rPr>
          <w:rFonts w:ascii="Times New Roman" w:eastAsia="黑体" w:hAnsi="Times New Roman" w:hint="eastAsia"/>
          <w:sz w:val="32"/>
          <w:szCs w:val="32"/>
        </w:rPr>
        <w:t>六、</w:t>
      </w:r>
      <w:r w:rsidR="006A1630">
        <w:rPr>
          <w:rFonts w:ascii="Times New Roman" w:eastAsia="黑体" w:hAnsi="Times New Roman"/>
          <w:sz w:val="32"/>
          <w:szCs w:val="32"/>
        </w:rPr>
        <w:t>问题与建议</w:t>
      </w:r>
      <w:r w:rsidR="006A1630">
        <w:rPr>
          <w:rFonts w:ascii="Times New Roman" w:eastAsia="楷体" w:hAnsi="Times New Roman"/>
          <w:sz w:val="32"/>
          <w:szCs w:val="32"/>
        </w:rPr>
        <w:t>（工程中心建设运行、管理和发展的问题与建议，可向依托单位、主管单位和教育部提出整体性建议）</w:t>
      </w:r>
    </w:p>
    <w:p w:rsidR="00DE3D8A" w:rsidRPr="00EA3AF4" w:rsidRDefault="00CF40E2" w:rsidP="00EA3AF4">
      <w:pPr>
        <w:snapToGrid w:val="0"/>
        <w:ind w:firstLineChars="200" w:firstLine="480"/>
        <w:rPr>
          <w:rFonts w:asciiTheme="minorEastAsia" w:eastAsiaTheme="minorEastAsia" w:hAnsiTheme="minorEastAsia" w:cs="楷体-简"/>
          <w:sz w:val="24"/>
        </w:rPr>
        <w:sectPr w:rsidR="00DE3D8A" w:rsidRPr="00EA3AF4" w:rsidSect="00DC2E01">
          <w:footerReference w:type="default" r:id="rId11"/>
          <w:pgSz w:w="11906" w:h="16838"/>
          <w:pgMar w:top="2098" w:right="1474" w:bottom="1984" w:left="1587" w:header="851" w:footer="992" w:gutter="0"/>
          <w:pgNumType w:start="1"/>
          <w:cols w:space="720"/>
          <w:docGrid w:type="lines" w:linePitch="312"/>
        </w:sectPr>
      </w:pPr>
      <w:r>
        <w:rPr>
          <w:rFonts w:asciiTheme="minorEastAsia" w:eastAsiaTheme="minorEastAsia" w:hAnsiTheme="minorEastAsia" w:cs="楷体-简" w:hint="eastAsia"/>
          <w:sz w:val="24"/>
        </w:rPr>
        <w:t>无</w:t>
      </w:r>
    </w:p>
    <w:p w:rsidR="00B33AFA" w:rsidRPr="00EA3AF4" w:rsidRDefault="00B33AFA" w:rsidP="00B33AFA">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七、</w:t>
      </w:r>
      <w:r w:rsidRPr="00EA3AF4">
        <w:rPr>
          <w:rFonts w:ascii="Times New Roman" w:eastAsia="黑体" w:hAnsi="Times New Roman"/>
          <w:sz w:val="32"/>
          <w:szCs w:val="32"/>
        </w:rPr>
        <w:t>审核意见</w:t>
      </w:r>
      <w:r w:rsidRPr="00EA3AF4">
        <w:rPr>
          <w:rFonts w:ascii="Times New Roman" w:eastAsia="楷体" w:hAnsi="Times New Roman"/>
          <w:sz w:val="32"/>
          <w:szCs w:val="32"/>
        </w:rPr>
        <w:t>（工程中心</w:t>
      </w:r>
      <w:r w:rsidRPr="00EA3AF4">
        <w:rPr>
          <w:rFonts w:ascii="Times New Roman" w:eastAsia="楷体" w:hAnsi="Times New Roman" w:hint="eastAsia"/>
          <w:sz w:val="32"/>
          <w:szCs w:val="32"/>
        </w:rPr>
        <w:t>负责人、依托单位、主管单位审核并签章</w:t>
      </w:r>
      <w:r w:rsidRPr="00EA3AF4">
        <w:rPr>
          <w:rFonts w:ascii="Times New Roman" w:eastAsia="楷体" w:hAnsi="Times New Roman"/>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rsidR="00B33AFA" w:rsidTr="00B06C0F">
        <w:trPr>
          <w:trHeight w:val="1420"/>
        </w:trPr>
        <w:tc>
          <w:tcPr>
            <w:tcW w:w="5000" w:type="pct"/>
          </w:tcPr>
          <w:p w:rsidR="00B33AFA" w:rsidRDefault="00B33AFA" w:rsidP="001A3D44">
            <w:pPr>
              <w:spacing w:beforeLines="50" w:afterLines="50"/>
              <w:ind w:firstLineChars="1832" w:firstLine="4397"/>
              <w:rPr>
                <w:rFonts w:asciiTheme="minorEastAsia" w:eastAsiaTheme="minorEastAsia" w:hAnsiTheme="minorEastAsia"/>
                <w:sz w:val="24"/>
              </w:rPr>
            </w:pPr>
          </w:p>
          <w:p w:rsidR="00B33AFA" w:rsidRDefault="00B33AFA" w:rsidP="001A3D44">
            <w:pPr>
              <w:spacing w:beforeLines="50" w:afterLines="50"/>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中心</w:t>
            </w:r>
            <w:r w:rsidRPr="00EA3AF4">
              <w:rPr>
                <w:rFonts w:asciiTheme="minorEastAsia" w:eastAsiaTheme="minorEastAsia" w:hAnsiTheme="minorEastAsia" w:hint="eastAsia"/>
                <w:sz w:val="24"/>
              </w:rPr>
              <w:t>承诺所填内容属实，数据准确可靠。依托单位将继续推进、落实</w:t>
            </w:r>
            <w:r>
              <w:rPr>
                <w:rFonts w:asciiTheme="minorEastAsia" w:eastAsiaTheme="minorEastAsia" w:hAnsiTheme="minorEastAsia" w:hint="eastAsia"/>
                <w:sz w:val="24"/>
              </w:rPr>
              <w:t>中心</w:t>
            </w:r>
            <w:r w:rsidRPr="00EA3AF4">
              <w:rPr>
                <w:rFonts w:asciiTheme="minorEastAsia" w:eastAsiaTheme="minorEastAsia" w:hAnsiTheme="minorEastAsia" w:hint="eastAsia"/>
                <w:sz w:val="24"/>
              </w:rPr>
              <w:t>建设和运行经费，并依据上级部门的要求指导和监督</w:t>
            </w:r>
            <w:r>
              <w:rPr>
                <w:rFonts w:asciiTheme="minorEastAsia" w:eastAsiaTheme="minorEastAsia" w:hAnsiTheme="minorEastAsia" w:hint="eastAsia"/>
                <w:sz w:val="24"/>
              </w:rPr>
              <w:t>中心</w:t>
            </w:r>
            <w:r w:rsidRPr="00EA3AF4">
              <w:rPr>
                <w:rFonts w:asciiTheme="minorEastAsia" w:eastAsiaTheme="minorEastAsia" w:hAnsiTheme="minorEastAsia" w:hint="eastAsia"/>
                <w:sz w:val="24"/>
              </w:rPr>
              <w:t>的运行和管理。</w:t>
            </w:r>
          </w:p>
          <w:p w:rsidR="00B33AFA" w:rsidRDefault="00B33AFA" w:rsidP="001A3D44">
            <w:pPr>
              <w:spacing w:beforeLines="50" w:afterLines="50"/>
              <w:ind w:firstLineChars="1832" w:firstLine="4397"/>
              <w:rPr>
                <w:rFonts w:asciiTheme="minorEastAsia" w:eastAsiaTheme="minorEastAsia" w:hAnsiTheme="minorEastAsia"/>
                <w:sz w:val="24"/>
              </w:rPr>
            </w:pPr>
          </w:p>
          <w:p w:rsidR="00B33AFA" w:rsidRDefault="00B33AFA" w:rsidP="001A3D44">
            <w:pPr>
              <w:spacing w:beforeLines="50" w:afterLines="50"/>
              <w:ind w:firstLineChars="1832" w:firstLine="4397"/>
              <w:rPr>
                <w:rFonts w:asciiTheme="minorEastAsia" w:eastAsiaTheme="minorEastAsia" w:hAnsiTheme="minorEastAsia"/>
                <w:sz w:val="24"/>
              </w:rPr>
            </w:pPr>
          </w:p>
          <w:p w:rsidR="00B33AFA" w:rsidRDefault="00B33AFA" w:rsidP="001A3D44">
            <w:pPr>
              <w:spacing w:beforeLines="50" w:afterLines="50"/>
              <w:ind w:firstLineChars="1832" w:firstLine="4397"/>
              <w:rPr>
                <w:rFonts w:asciiTheme="minorEastAsia" w:eastAsiaTheme="minorEastAsia" w:hAnsiTheme="minorEastAsia"/>
                <w:sz w:val="24"/>
              </w:rPr>
            </w:pPr>
          </w:p>
          <w:p w:rsidR="00B33AFA" w:rsidRDefault="00B33AFA" w:rsidP="001A3D44">
            <w:pPr>
              <w:spacing w:beforeLines="50" w:afterLines="50"/>
              <w:ind w:firstLineChars="83" w:firstLine="199"/>
              <w:rPr>
                <w:rFonts w:asciiTheme="minorEastAsia" w:eastAsiaTheme="minorEastAsia" w:hAnsiTheme="minorEastAsia"/>
                <w:sz w:val="24"/>
              </w:rPr>
            </w:pPr>
          </w:p>
          <w:p w:rsidR="00B33AFA" w:rsidRDefault="00B33AFA" w:rsidP="001A3D44">
            <w:pPr>
              <w:spacing w:beforeLines="50" w:afterLines="50"/>
              <w:ind w:firstLineChars="4382" w:firstLine="10517"/>
              <w:jc w:val="center"/>
              <w:rPr>
                <w:rFonts w:asciiTheme="minorEastAsia" w:eastAsiaTheme="minorEastAsia" w:hAnsiTheme="minorEastAsia"/>
                <w:sz w:val="24"/>
              </w:rPr>
            </w:pPr>
            <w:r>
              <w:rPr>
                <w:rFonts w:asciiTheme="minorEastAsia" w:eastAsiaTheme="minorEastAsia" w:hAnsiTheme="minorEastAsia" w:hint="eastAsia"/>
                <w:sz w:val="24"/>
              </w:rPr>
              <w:t>实                      工程中心负责人（签字）：</w:t>
            </w:r>
          </w:p>
          <w:p w:rsidR="00B33AFA" w:rsidRDefault="00B33AFA" w:rsidP="001A3D44">
            <w:pPr>
              <w:spacing w:beforeLines="50" w:afterLines="50"/>
              <w:ind w:firstLineChars="4382" w:firstLine="10517"/>
              <w:jc w:val="right"/>
              <w:rPr>
                <w:rFonts w:asciiTheme="minorEastAsia" w:eastAsiaTheme="minorEastAsia" w:hAnsiTheme="minorEastAsia"/>
                <w:sz w:val="24"/>
              </w:rPr>
            </w:pPr>
          </w:p>
          <w:p w:rsidR="00B33AFA" w:rsidRDefault="00B33AFA" w:rsidP="001A3D44">
            <w:pPr>
              <w:spacing w:beforeLines="50" w:afterLines="50"/>
              <w:ind w:firstLineChars="4382" w:firstLine="10517"/>
              <w:jc w:val="center"/>
              <w:rPr>
                <w:rFonts w:asciiTheme="minorEastAsia" w:eastAsiaTheme="minorEastAsia" w:hAnsiTheme="minorEastAsia"/>
                <w:sz w:val="24"/>
              </w:rPr>
            </w:pPr>
            <w:r>
              <w:rPr>
                <w:rFonts w:asciiTheme="minorEastAsia" w:eastAsiaTheme="minorEastAsia" w:hAnsiTheme="minorEastAsia" w:hint="eastAsia"/>
                <w:sz w:val="24"/>
              </w:rPr>
              <w:t>依                            依托单位（盖章）：</w:t>
            </w:r>
          </w:p>
          <w:p w:rsidR="00B33AFA" w:rsidRDefault="00B33AFA" w:rsidP="001A3D44">
            <w:pPr>
              <w:spacing w:beforeLines="50" w:afterLines="50"/>
              <w:ind w:firstLineChars="4382" w:firstLine="10517"/>
              <w:jc w:val="right"/>
              <w:rPr>
                <w:rFonts w:asciiTheme="minorEastAsia" w:eastAsiaTheme="minorEastAsia" w:hAnsiTheme="minorEastAsia"/>
                <w:sz w:val="24"/>
              </w:rPr>
            </w:pPr>
          </w:p>
          <w:p w:rsidR="00B33AFA" w:rsidRDefault="00B33AFA" w:rsidP="001A3D44">
            <w:pPr>
              <w:spacing w:afterLines="50"/>
              <w:ind w:leftChars="2622" w:left="5506" w:right="480" w:firstLineChars="2550" w:firstLine="6120"/>
              <w:rPr>
                <w:rFonts w:asciiTheme="minorEastAsia" w:eastAsiaTheme="minorEastAsia" w:hAnsiTheme="minorEastAsia"/>
                <w:sz w:val="24"/>
              </w:rPr>
            </w:pPr>
            <w:r>
              <w:rPr>
                <w:rFonts w:asciiTheme="minorEastAsia" w:eastAsiaTheme="minorEastAsia" w:hAnsiTheme="minorEastAsia" w:hint="eastAsia"/>
                <w:sz w:val="24"/>
              </w:rPr>
              <w:t>年年  月  日</w:t>
            </w:r>
          </w:p>
        </w:tc>
      </w:tr>
      <w:tr w:rsidR="00B33AFA" w:rsidTr="00B06C0F">
        <w:trPr>
          <w:trHeight w:val="1420"/>
        </w:trPr>
        <w:tc>
          <w:tcPr>
            <w:tcW w:w="5000" w:type="pct"/>
          </w:tcPr>
          <w:p w:rsidR="00B33AFA" w:rsidRDefault="00B33AFA" w:rsidP="001A3D44">
            <w:pPr>
              <w:spacing w:afterLines="50"/>
              <w:jc w:val="right"/>
              <w:rPr>
                <w:rFonts w:asciiTheme="minorEastAsia" w:eastAsiaTheme="minorEastAsia" w:hAnsiTheme="minorEastAsia"/>
                <w:sz w:val="24"/>
              </w:rPr>
            </w:pPr>
          </w:p>
          <w:p w:rsidR="00B33AFA" w:rsidRDefault="00B33AFA" w:rsidP="001A3D44">
            <w:pPr>
              <w:spacing w:afterLines="50"/>
              <w:jc w:val="right"/>
              <w:rPr>
                <w:rFonts w:asciiTheme="minorEastAsia" w:eastAsiaTheme="minorEastAsia" w:hAnsiTheme="minorEastAsia"/>
                <w:sz w:val="24"/>
              </w:rPr>
            </w:pPr>
          </w:p>
          <w:p w:rsidR="00B33AFA" w:rsidRDefault="00B33AFA" w:rsidP="001A3D44">
            <w:pPr>
              <w:spacing w:afterLines="50"/>
              <w:jc w:val="right"/>
              <w:rPr>
                <w:rFonts w:asciiTheme="minorEastAsia" w:eastAsiaTheme="minorEastAsia" w:hAnsiTheme="minorEastAsia"/>
                <w:sz w:val="24"/>
              </w:rPr>
            </w:pPr>
          </w:p>
          <w:p w:rsidR="00B33AFA" w:rsidRDefault="00B33AFA" w:rsidP="001A3D44">
            <w:pPr>
              <w:spacing w:afterLines="50"/>
              <w:ind w:right="480"/>
              <w:jc w:val="right"/>
              <w:rPr>
                <w:rFonts w:asciiTheme="minorEastAsia" w:eastAsiaTheme="minorEastAsia" w:hAnsiTheme="minorEastAsia"/>
                <w:sz w:val="24"/>
              </w:rPr>
            </w:pPr>
          </w:p>
          <w:p w:rsidR="00B33AFA" w:rsidRDefault="00B33AFA" w:rsidP="001A3D44">
            <w:pPr>
              <w:spacing w:afterLines="50"/>
              <w:ind w:right="480"/>
              <w:rPr>
                <w:rFonts w:asciiTheme="minorEastAsia" w:eastAsiaTheme="minorEastAsia" w:hAnsiTheme="minorEastAsia"/>
                <w:sz w:val="24"/>
              </w:rPr>
            </w:pPr>
          </w:p>
          <w:p w:rsidR="00B33AFA" w:rsidRDefault="00B33AFA" w:rsidP="001A3D44">
            <w:pPr>
              <w:wordWrap w:val="0"/>
              <w:spacing w:afterLines="50"/>
              <w:jc w:val="right"/>
              <w:rPr>
                <w:rFonts w:asciiTheme="minorEastAsia" w:eastAsiaTheme="minorEastAsia" w:hAnsiTheme="minorEastAsia"/>
                <w:sz w:val="24"/>
              </w:rPr>
            </w:pPr>
          </w:p>
          <w:p w:rsidR="00B33AFA" w:rsidRDefault="00B33AFA" w:rsidP="001A3D44">
            <w:pPr>
              <w:spacing w:afterLines="50"/>
              <w:jc w:val="center"/>
              <w:rPr>
                <w:rFonts w:asciiTheme="minorEastAsia" w:eastAsiaTheme="minorEastAsia" w:hAnsiTheme="minorEastAsia"/>
                <w:sz w:val="24"/>
              </w:rPr>
            </w:pPr>
            <w:r>
              <w:rPr>
                <w:rFonts w:asciiTheme="minorEastAsia" w:eastAsiaTheme="minorEastAsia" w:hAnsiTheme="minorEastAsia" w:hint="eastAsia"/>
                <w:sz w:val="24"/>
              </w:rPr>
              <w:t xml:space="preserve">                             主管单位（盖章）：         </w:t>
            </w:r>
          </w:p>
          <w:p w:rsidR="00B33AFA" w:rsidRDefault="00B33AFA" w:rsidP="001A3D44">
            <w:pPr>
              <w:spacing w:afterLines="50"/>
              <w:jc w:val="right"/>
              <w:rPr>
                <w:rFonts w:asciiTheme="minorEastAsia" w:eastAsiaTheme="minorEastAsia" w:hAnsiTheme="minorEastAsia"/>
                <w:sz w:val="24"/>
              </w:rPr>
            </w:pPr>
          </w:p>
          <w:p w:rsidR="00B33AFA" w:rsidRDefault="00B33AFA" w:rsidP="001A3D44">
            <w:pPr>
              <w:spacing w:afterLines="50"/>
              <w:jc w:val="right"/>
              <w:rPr>
                <w:rFonts w:asciiTheme="minorEastAsia" w:eastAsiaTheme="minorEastAsia" w:hAnsiTheme="minorEastAsia"/>
                <w:sz w:val="24"/>
              </w:rPr>
            </w:pPr>
          </w:p>
          <w:p w:rsidR="00B33AFA" w:rsidRDefault="00B33AFA" w:rsidP="001A3D44">
            <w:pPr>
              <w:spacing w:afterLines="50"/>
              <w:ind w:right="480"/>
              <w:jc w:val="center"/>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bl>
    <w:p w:rsidR="00DE3D8A" w:rsidRDefault="00DE3D8A">
      <w:pPr>
        <w:rPr>
          <w:rFonts w:ascii="Times New Roman" w:eastAsia="黑体" w:hAnsi="Times New Roman"/>
          <w:sz w:val="32"/>
          <w:szCs w:val="32"/>
        </w:rPr>
      </w:pPr>
    </w:p>
    <w:p w:rsidR="00DE3D8A" w:rsidRPr="005130F9" w:rsidRDefault="006A1630">
      <w:pPr>
        <w:spacing w:line="560" w:lineRule="exact"/>
        <w:ind w:firstLineChars="200" w:firstLine="640"/>
        <w:rPr>
          <w:rFonts w:ascii="Times New Roman" w:eastAsia="黑体" w:hAnsi="Times New Roman"/>
          <w:color w:val="FFFFFF" w:themeColor="background1"/>
          <w:sz w:val="32"/>
          <w:szCs w:val="32"/>
        </w:rPr>
      </w:pPr>
      <w:r>
        <w:rPr>
          <w:rFonts w:ascii="Times New Roman" w:eastAsia="黑体" w:hAnsi="Times New Roman" w:hint="eastAsia"/>
          <w:sz w:val="32"/>
          <w:szCs w:val="32"/>
        </w:rPr>
        <w:t>八、</w:t>
      </w:r>
      <w:r w:rsidR="005130F9">
        <w:rPr>
          <w:rFonts w:ascii="Times New Roman" w:eastAsia="黑体" w:hAnsi="Times New Roman" w:hint="eastAsia"/>
          <w:sz w:val="32"/>
          <w:szCs w:val="32"/>
        </w:rPr>
        <w:t>年度运行</w:t>
      </w:r>
      <w:r w:rsidR="00FA72B6">
        <w:rPr>
          <w:rFonts w:ascii="Times New Roman" w:eastAsia="黑体" w:hAnsi="Times New Roman" w:hint="eastAsia"/>
          <w:sz w:val="32"/>
          <w:szCs w:val="32"/>
        </w:rPr>
        <w:t>情况统计表</w:t>
      </w:r>
    </w:p>
    <w:tbl>
      <w:tblPr>
        <w:tblW w:w="94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961"/>
        <w:gridCol w:w="780"/>
        <w:gridCol w:w="634"/>
        <w:gridCol w:w="758"/>
        <w:gridCol w:w="156"/>
        <w:gridCol w:w="132"/>
        <w:gridCol w:w="360"/>
        <w:gridCol w:w="744"/>
        <w:gridCol w:w="228"/>
        <w:gridCol w:w="756"/>
        <w:gridCol w:w="24"/>
        <w:gridCol w:w="408"/>
        <w:gridCol w:w="492"/>
        <w:gridCol w:w="288"/>
        <w:gridCol w:w="192"/>
        <w:gridCol w:w="276"/>
        <w:gridCol w:w="672"/>
        <w:gridCol w:w="161"/>
        <w:gridCol w:w="355"/>
        <w:gridCol w:w="96"/>
        <w:gridCol w:w="965"/>
      </w:tblGrid>
      <w:tr w:rsidR="00DE3D8A">
        <w:trPr>
          <w:trHeight w:val="567"/>
          <w:jc w:val="center"/>
        </w:trPr>
        <w:tc>
          <w:tcPr>
            <w:tcW w:w="1741" w:type="dxa"/>
            <w:gridSpan w:val="2"/>
            <w:vMerge w:val="restart"/>
            <w:tcBorders>
              <w:top w:val="single" w:sz="12" w:space="0" w:color="auto"/>
              <w:bottom w:val="single" w:sz="4" w:space="0" w:color="auto"/>
              <w:right w:val="single" w:sz="4" w:space="0" w:color="auto"/>
            </w:tcBorders>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b/>
                <w:color w:val="000000"/>
                <w:kern w:val="0"/>
                <w:sz w:val="24"/>
              </w:rPr>
              <w:t>研究方向</w:t>
            </w:r>
          </w:p>
        </w:tc>
        <w:tc>
          <w:tcPr>
            <w:tcW w:w="139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1</w:t>
            </w:r>
          </w:p>
        </w:tc>
        <w:tc>
          <w:tcPr>
            <w:tcW w:w="3300"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精密光学镜片加工</w:t>
            </w:r>
          </w:p>
        </w:tc>
        <w:tc>
          <w:tcPr>
            <w:tcW w:w="1944"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甄毅</w:t>
            </w:r>
          </w:p>
        </w:tc>
      </w:tr>
      <w:tr w:rsidR="00DE3D8A">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DE3D8A" w:rsidRDefault="00DE3D8A">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2</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微创治疗器械及手术机器人</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辛晨</w:t>
            </w:r>
          </w:p>
        </w:tc>
      </w:tr>
      <w:tr w:rsidR="00DE3D8A">
        <w:trPr>
          <w:trHeight w:val="600"/>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DE3D8A" w:rsidRDefault="00DE3D8A">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3</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仿生新材料</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毛迎燕</w:t>
            </w:r>
          </w:p>
        </w:tc>
      </w:tr>
      <w:tr w:rsidR="00DE3D8A">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DE3D8A" w:rsidRDefault="00DE3D8A">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4</w:t>
            </w:r>
          </w:p>
        </w:tc>
        <w:tc>
          <w:tcPr>
            <w:tcW w:w="33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医学仿真与人工智能</w:t>
            </w:r>
          </w:p>
        </w:tc>
        <w:tc>
          <w:tcPr>
            <w:tcW w:w="1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申婧</w:t>
            </w:r>
          </w:p>
        </w:tc>
      </w:tr>
      <w:tr w:rsidR="00DE3D8A">
        <w:trPr>
          <w:trHeight w:val="537"/>
          <w:jc w:val="center"/>
        </w:trPr>
        <w:tc>
          <w:tcPr>
            <w:tcW w:w="1741" w:type="dxa"/>
            <w:gridSpan w:val="2"/>
            <w:tcBorders>
              <w:top w:val="single" w:sz="4" w:space="0" w:color="auto"/>
              <w:bottom w:val="single" w:sz="4" w:space="0" w:color="auto"/>
              <w:right w:val="single" w:sz="4" w:space="0" w:color="auto"/>
            </w:tcBorders>
            <w:tcMar>
              <w:left w:w="0" w:type="dxa"/>
              <w:right w:w="0" w:type="dxa"/>
            </w:tcMar>
            <w:vAlign w:val="center"/>
          </w:tcPr>
          <w:p w:rsidR="00DE3D8A" w:rsidRDefault="006A1630">
            <w:pPr>
              <w:widowControl/>
              <w:adjustRightInd w:val="0"/>
              <w:snapToGrid w:val="0"/>
              <w:jc w:val="center"/>
              <w:rPr>
                <w:rFonts w:ascii="Times New Roman" w:hAnsi="Times New Roman"/>
                <w:b/>
                <w:color w:val="000000"/>
                <w:kern w:val="0"/>
                <w:sz w:val="24"/>
              </w:rPr>
            </w:pPr>
            <w:r>
              <w:rPr>
                <w:rFonts w:ascii="Times New Roman" w:hAnsi="Times New Roman"/>
                <w:b/>
                <w:color w:val="000000"/>
                <w:kern w:val="0"/>
                <w:sz w:val="24"/>
              </w:rPr>
              <w:t>工程中心面积</w:t>
            </w:r>
          </w:p>
        </w:tc>
        <w:tc>
          <w:tcPr>
            <w:tcW w:w="379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3000m</w:t>
            </w:r>
            <w:r>
              <w:rPr>
                <w:rFonts w:ascii="Times New Roman" w:hAnsi="Times New Roman"/>
                <w:bCs/>
                <w:color w:val="000000"/>
                <w:kern w:val="0"/>
                <w:sz w:val="24"/>
                <w:vertAlign w:val="superscript"/>
              </w:rPr>
              <w:t>2</w:t>
            </w:r>
          </w:p>
        </w:tc>
        <w:tc>
          <w:tcPr>
            <w:tcW w:w="28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当年新增面积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bCs/>
                <w:color w:val="000000"/>
                <w:kern w:val="0"/>
                <w:sz w:val="24"/>
              </w:rPr>
              <w:t>0 m</w:t>
            </w:r>
            <w:r>
              <w:rPr>
                <w:rFonts w:ascii="Times New Roman" w:hAnsi="Times New Roman"/>
                <w:bCs/>
                <w:color w:val="000000"/>
                <w:kern w:val="0"/>
                <w:sz w:val="24"/>
                <w:vertAlign w:val="superscript"/>
              </w:rPr>
              <w:t>2</w:t>
            </w:r>
          </w:p>
        </w:tc>
      </w:tr>
      <w:tr w:rsidR="00DE3D8A">
        <w:trPr>
          <w:trHeight w:val="567"/>
          <w:jc w:val="center"/>
        </w:trPr>
        <w:tc>
          <w:tcPr>
            <w:tcW w:w="1741" w:type="dxa"/>
            <w:gridSpan w:val="2"/>
            <w:tcBorders>
              <w:top w:val="single" w:sz="4" w:space="0" w:color="auto"/>
              <w:bottom w:val="single" w:sz="12" w:space="0" w:color="auto"/>
              <w:right w:val="single" w:sz="4" w:space="0" w:color="auto"/>
            </w:tcBorders>
            <w:tcMar>
              <w:left w:w="0" w:type="dxa"/>
              <w:right w:w="0" w:type="dxa"/>
            </w:tcMar>
            <w:vAlign w:val="center"/>
          </w:tcPr>
          <w:p w:rsidR="00DE3D8A" w:rsidRDefault="006A1630">
            <w:pPr>
              <w:widowControl/>
              <w:adjustRightInd w:val="0"/>
              <w:snapToGrid w:val="0"/>
              <w:jc w:val="center"/>
              <w:rPr>
                <w:rFonts w:ascii="Times New Roman" w:hAnsi="Times New Roman"/>
                <w:b/>
                <w:color w:val="000000"/>
                <w:kern w:val="0"/>
                <w:sz w:val="24"/>
              </w:rPr>
            </w:pPr>
            <w:r>
              <w:rPr>
                <w:rFonts w:ascii="Times New Roman" w:hAnsi="Times New Roman" w:hint="eastAsia"/>
                <w:b/>
                <w:color w:val="000000"/>
                <w:kern w:val="0"/>
                <w:sz w:val="24"/>
              </w:rPr>
              <w:t>固定人员</w:t>
            </w:r>
          </w:p>
        </w:tc>
        <w:tc>
          <w:tcPr>
            <w:tcW w:w="3792" w:type="dxa"/>
            <w:gridSpan w:val="9"/>
            <w:tcBorders>
              <w:top w:val="single" w:sz="4" w:space="0" w:color="auto"/>
              <w:left w:val="single" w:sz="4" w:space="0" w:color="auto"/>
              <w:bottom w:val="single" w:sz="12" w:space="0" w:color="auto"/>
              <w:right w:val="single" w:sz="4" w:space="0" w:color="auto"/>
            </w:tcBorders>
            <w:shd w:val="clear" w:color="auto" w:fill="auto"/>
            <w:noWrap/>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65</w:t>
            </w:r>
            <w:r>
              <w:rPr>
                <w:rFonts w:ascii="Times New Roman" w:hAnsi="Times New Roman" w:hint="eastAsia"/>
                <w:color w:val="000000"/>
                <w:kern w:val="0"/>
                <w:sz w:val="24"/>
              </w:rPr>
              <w:t>人</w:t>
            </w:r>
          </w:p>
        </w:tc>
        <w:tc>
          <w:tcPr>
            <w:tcW w:w="2844" w:type="dxa"/>
            <w:gridSpan w:val="8"/>
            <w:tcBorders>
              <w:top w:val="single" w:sz="4" w:space="0" w:color="auto"/>
              <w:left w:val="single" w:sz="4" w:space="0" w:color="auto"/>
              <w:bottom w:val="single" w:sz="12"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流动人员</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10</w:t>
            </w:r>
            <w:r>
              <w:rPr>
                <w:rFonts w:ascii="Times New Roman" w:hAnsi="Times New Roman" w:hint="eastAsia"/>
                <w:color w:val="000000"/>
                <w:kern w:val="0"/>
                <w:sz w:val="24"/>
              </w:rPr>
              <w:t>人</w:t>
            </w:r>
          </w:p>
        </w:tc>
      </w:tr>
      <w:tr w:rsidR="00DE3D8A">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获奖情况</w:t>
            </w: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right w:w="0" w:type="dxa"/>
            </w:tcMar>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国家</w:t>
            </w:r>
            <w:r>
              <w:rPr>
                <w:rFonts w:ascii="Times New Roman" w:hAnsi="Times New Roman" w:hint="eastAsia"/>
                <w:color w:val="000000"/>
                <w:kern w:val="0"/>
                <w:sz w:val="24"/>
              </w:rPr>
              <w:t>级科技奖励</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 xml:space="preserve">项　</w:t>
            </w:r>
          </w:p>
        </w:tc>
        <w:tc>
          <w:tcPr>
            <w:tcW w:w="1656"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tcMar>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57" w:type="dxa"/>
            </w:tcMar>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 xml:space="preserve">项　</w:t>
            </w:r>
          </w:p>
        </w:tc>
      </w:tr>
      <w:tr w:rsidR="00DE3D8A">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rsidR="00DE3D8A" w:rsidRDefault="00DE3D8A">
            <w:pPr>
              <w:widowControl/>
              <w:adjustRightInd w:val="0"/>
              <w:snapToGrid w:val="0"/>
              <w:jc w:val="center"/>
              <w:rPr>
                <w:rFonts w:ascii="Times New Roman" w:hAnsi="Times New Roman"/>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right w:w="0" w:type="dxa"/>
            </w:tcMar>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省、部级科技奖励</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188"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1</w:t>
            </w:r>
            <w:r>
              <w:rPr>
                <w:rFonts w:ascii="Times New Roman" w:hAnsi="Times New Roman"/>
                <w:color w:val="000000"/>
                <w:kern w:val="0"/>
                <w:sz w:val="24"/>
              </w:rPr>
              <w:t xml:space="preserve">项　</w:t>
            </w:r>
          </w:p>
        </w:tc>
        <w:tc>
          <w:tcPr>
            <w:tcW w:w="1656"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tcMar>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57" w:type="dxa"/>
            </w:tcMar>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Pr>
                <w:rFonts w:ascii="Times New Roman" w:hAnsi="Times New Roman"/>
                <w:color w:val="000000"/>
                <w:kern w:val="0"/>
                <w:sz w:val="24"/>
              </w:rPr>
              <w:t xml:space="preserve">项　</w:t>
            </w:r>
          </w:p>
        </w:tc>
      </w:tr>
      <w:tr w:rsidR="00DE3D8A">
        <w:trPr>
          <w:trHeight w:val="567"/>
          <w:jc w:val="center"/>
        </w:trPr>
        <w:tc>
          <w:tcPr>
            <w:tcW w:w="1741" w:type="dxa"/>
            <w:gridSpan w:val="2"/>
            <w:tcBorders>
              <w:top w:val="single" w:sz="12" w:space="0" w:color="auto"/>
              <w:left w:val="single" w:sz="12" w:space="0" w:color="auto"/>
              <w:bottom w:val="single" w:sz="12" w:space="0" w:color="auto"/>
              <w:right w:val="single" w:sz="4" w:space="0" w:color="auto"/>
            </w:tcBorders>
            <w:vAlign w:val="center"/>
          </w:tcPr>
          <w:p w:rsidR="00DE3D8A" w:rsidRDefault="006A1630">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w:t>
            </w:r>
            <w:r>
              <w:rPr>
                <w:rFonts w:ascii="Times New Roman" w:hAnsi="Times New Roman"/>
                <w:b/>
                <w:bCs/>
                <w:color w:val="000000"/>
                <w:kern w:val="0"/>
                <w:sz w:val="24"/>
              </w:rPr>
              <w:t>项目到账</w:t>
            </w:r>
          </w:p>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 xml:space="preserve"> </w:t>
            </w:r>
            <w:r>
              <w:rPr>
                <w:rFonts w:ascii="Times New Roman" w:hAnsi="Times New Roman"/>
                <w:b/>
                <w:bCs/>
                <w:color w:val="000000"/>
                <w:kern w:val="0"/>
                <w:sz w:val="24"/>
              </w:rPr>
              <w:t>总经费</w:t>
            </w:r>
          </w:p>
        </w:tc>
        <w:tc>
          <w:tcPr>
            <w:tcW w:w="2040"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DE3D8A" w:rsidRDefault="006A1630">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1616.79</w:t>
            </w:r>
            <w:r>
              <w:rPr>
                <w:rFonts w:ascii="Times New Roman" w:hAnsi="Times New Roman"/>
                <w:color w:val="000000"/>
                <w:kern w:val="0"/>
                <w:sz w:val="24"/>
              </w:rPr>
              <w:t>万元</w:t>
            </w:r>
          </w:p>
        </w:tc>
        <w:tc>
          <w:tcPr>
            <w:tcW w:w="1752" w:type="dxa"/>
            <w:gridSpan w:val="4"/>
            <w:tcBorders>
              <w:top w:val="single" w:sz="12" w:space="0" w:color="auto"/>
              <w:left w:val="single" w:sz="4" w:space="0" w:color="auto"/>
              <w:bottom w:val="single" w:sz="12" w:space="0" w:color="auto"/>
              <w:right w:val="single" w:sz="4" w:space="0" w:color="auto"/>
            </w:tcBorders>
            <w:shd w:val="clear" w:color="auto" w:fill="auto"/>
            <w:noWrap/>
            <w:tcMar>
              <w:top w:w="0" w:type="dxa"/>
              <w:left w:w="108" w:type="dxa"/>
              <w:bottom w:w="0" w:type="dxa"/>
              <w:right w:w="108" w:type="dxa"/>
            </w:tcMar>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纵向经费</w:t>
            </w:r>
          </w:p>
        </w:tc>
        <w:tc>
          <w:tcPr>
            <w:tcW w:w="1188" w:type="dxa"/>
            <w:gridSpan w:val="3"/>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DE3D8A" w:rsidRDefault="006A1630">
            <w:pPr>
              <w:widowControl/>
              <w:adjustRightInd w:val="0"/>
              <w:snapToGrid w:val="0"/>
              <w:ind w:rightChars="-48" w:right="-101"/>
              <w:jc w:val="right"/>
              <w:rPr>
                <w:rFonts w:ascii="Times New Roman" w:hAnsi="Times New Roman"/>
                <w:color w:val="000000"/>
                <w:kern w:val="0"/>
                <w:sz w:val="24"/>
              </w:rPr>
            </w:pPr>
            <w:r>
              <w:rPr>
                <w:rFonts w:ascii="Times New Roman" w:hAnsi="Times New Roman"/>
                <w:color w:val="000000"/>
                <w:kern w:val="0"/>
                <w:sz w:val="24"/>
              </w:rPr>
              <w:t>1469</w:t>
            </w:r>
            <w:r>
              <w:rPr>
                <w:rFonts w:ascii="Times New Roman" w:hAnsi="Times New Roman"/>
                <w:color w:val="000000"/>
                <w:kern w:val="0"/>
                <w:sz w:val="24"/>
              </w:rPr>
              <w:t>万元</w:t>
            </w:r>
          </w:p>
        </w:tc>
        <w:tc>
          <w:tcPr>
            <w:tcW w:w="1656"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DE3D8A" w:rsidRDefault="006A1630">
            <w:pPr>
              <w:widowControl/>
              <w:tabs>
                <w:tab w:val="left" w:pos="0"/>
              </w:tabs>
              <w:adjustRightInd w:val="0"/>
              <w:snapToGrid w:val="0"/>
              <w:ind w:right="-5"/>
              <w:jc w:val="center"/>
              <w:rPr>
                <w:rFonts w:ascii="Times New Roman" w:hAnsi="Times New Roman"/>
                <w:color w:val="000000"/>
                <w:kern w:val="0"/>
                <w:sz w:val="24"/>
              </w:rPr>
            </w:pPr>
            <w:r>
              <w:rPr>
                <w:rFonts w:ascii="Times New Roman" w:hAnsi="Times New Roman"/>
                <w:color w:val="000000"/>
                <w:kern w:val="0"/>
                <w:sz w:val="24"/>
              </w:rPr>
              <w:t>横向经费</w:t>
            </w:r>
          </w:p>
        </w:tc>
        <w:tc>
          <w:tcPr>
            <w:tcW w:w="1061" w:type="dxa"/>
            <w:gridSpan w:val="2"/>
            <w:tcBorders>
              <w:top w:val="single" w:sz="12" w:space="0" w:color="auto"/>
              <w:left w:val="single" w:sz="4" w:space="0" w:color="auto"/>
              <w:bottom w:val="single" w:sz="12" w:space="0" w:color="auto"/>
              <w:right w:val="single" w:sz="12" w:space="0" w:color="auto"/>
            </w:tcBorders>
            <w:shd w:val="clear" w:color="auto" w:fill="auto"/>
            <w:noWrap/>
            <w:tcMar>
              <w:top w:w="0" w:type="dxa"/>
              <w:left w:w="0" w:type="dxa"/>
              <w:bottom w:w="0" w:type="dxa"/>
              <w:right w:w="0" w:type="dxa"/>
            </w:tcMar>
            <w:vAlign w:val="center"/>
          </w:tcPr>
          <w:p w:rsidR="00DE3D8A" w:rsidRDefault="006A1630">
            <w:pPr>
              <w:widowControl/>
              <w:adjustRightInd w:val="0"/>
              <w:snapToGrid w:val="0"/>
              <w:ind w:rightChars="-16" w:right="-34"/>
              <w:jc w:val="right"/>
              <w:rPr>
                <w:rFonts w:ascii="Times New Roman" w:hAnsi="Times New Roman"/>
                <w:color w:val="000000"/>
                <w:kern w:val="0"/>
                <w:sz w:val="24"/>
              </w:rPr>
            </w:pPr>
            <w:r>
              <w:rPr>
                <w:rFonts w:ascii="Times New Roman" w:hAnsi="Times New Roman"/>
                <w:color w:val="000000"/>
                <w:kern w:val="0"/>
                <w:sz w:val="24"/>
              </w:rPr>
              <w:t>147.79</w:t>
            </w:r>
            <w:r>
              <w:rPr>
                <w:rFonts w:ascii="Times New Roman" w:hAnsi="Times New Roman"/>
                <w:color w:val="000000"/>
                <w:kern w:val="0"/>
                <w:sz w:val="24"/>
              </w:rPr>
              <w:t>万元</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当年知识产权与成果转化</w:t>
            </w:r>
          </w:p>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hint="eastAsia"/>
                <w:b/>
                <w:bCs/>
                <w:color w:val="000000"/>
                <w:kern w:val="0"/>
                <w:sz w:val="24"/>
              </w:rPr>
              <w:t>专利等知识产权</w:t>
            </w:r>
          </w:p>
          <w:p w:rsidR="00DE3D8A" w:rsidRDefault="006A1630">
            <w:pPr>
              <w:widowControl/>
              <w:adjustRightInd w:val="0"/>
              <w:snapToGrid w:val="0"/>
              <w:jc w:val="center"/>
              <w:rPr>
                <w:rFonts w:ascii="Times New Roman" w:hAnsi="Times New Roman"/>
                <w:color w:val="000000"/>
                <w:kern w:val="0"/>
                <w:sz w:val="24"/>
                <w:highlight w:val="darkGreen"/>
              </w:rPr>
            </w:pPr>
            <w:r w:rsidRPr="00FA72B6">
              <w:rPr>
                <w:rFonts w:ascii="Times New Roman" w:hAnsi="Times New Roman" w:hint="eastAsia"/>
                <w:b/>
                <w:bCs/>
                <w:color w:val="000000"/>
                <w:kern w:val="0"/>
                <w:sz w:val="24"/>
              </w:rPr>
              <w:t>持有情况</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highlight w:val="darkGreen"/>
              </w:rPr>
            </w:pPr>
            <w:r w:rsidRPr="00B13602">
              <w:rPr>
                <w:rFonts w:ascii="Times New Roman" w:hAnsi="Times New Roman" w:hint="eastAsia"/>
                <w:color w:val="000000"/>
                <w:kern w:val="0"/>
                <w:szCs w:val="21"/>
              </w:rPr>
              <w:t>有效专利</w:t>
            </w:r>
          </w:p>
        </w:tc>
        <w:tc>
          <w:tcPr>
            <w:tcW w:w="1188"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B13602" w:rsidRDefault="00B13602">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7</w:t>
            </w:r>
            <w:r w:rsidR="006A1630" w:rsidRPr="00B13602">
              <w:rPr>
                <w:rFonts w:ascii="Times New Roman" w:hAnsi="Times New Roman" w:hint="eastAsia"/>
                <w:color w:val="000000"/>
                <w:kern w:val="0"/>
                <w:szCs w:val="21"/>
              </w:rPr>
              <w:t>项</w:t>
            </w:r>
          </w:p>
        </w:tc>
        <w:tc>
          <w:tcPr>
            <w:tcW w:w="1656"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B13602" w:rsidRDefault="006A1630">
            <w:pPr>
              <w:widowControl/>
              <w:adjustRightInd w:val="0"/>
              <w:snapToGrid w:val="0"/>
              <w:jc w:val="center"/>
              <w:rPr>
                <w:rFonts w:ascii="Times New Roman" w:hAnsi="Times New Roman"/>
                <w:color w:val="000000"/>
                <w:kern w:val="0"/>
                <w:szCs w:val="21"/>
              </w:rPr>
            </w:pPr>
            <w:r w:rsidRPr="00B13602">
              <w:rPr>
                <w:rFonts w:ascii="Times New Roman" w:hAnsi="Times New Roman" w:hint="eastAsia"/>
                <w:color w:val="000000"/>
                <w:kern w:val="0"/>
                <w:szCs w:val="21"/>
              </w:rPr>
              <w:t>其他知识产权</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Pr="00B13602" w:rsidRDefault="006A1630">
            <w:pPr>
              <w:widowControl/>
              <w:adjustRightInd w:val="0"/>
              <w:snapToGrid w:val="0"/>
              <w:jc w:val="right"/>
              <w:rPr>
                <w:rFonts w:ascii="Times New Roman" w:hAnsi="Times New Roman"/>
                <w:color w:val="000000"/>
                <w:kern w:val="0"/>
                <w:szCs w:val="21"/>
              </w:rPr>
            </w:pPr>
            <w:r w:rsidRPr="00B13602">
              <w:rPr>
                <w:rFonts w:ascii="Times New Roman" w:hAnsi="Times New Roman" w:hint="eastAsia"/>
                <w:color w:val="000000"/>
                <w:kern w:val="0"/>
                <w:szCs w:val="21"/>
              </w:rPr>
              <w:t>项</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参与标准与规范</w:t>
            </w:r>
          </w:p>
          <w:p w:rsidR="00DE3D8A" w:rsidRDefault="006A1630">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制定情况</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国际</w:t>
            </w:r>
            <w:r>
              <w:rPr>
                <w:rFonts w:ascii="Times New Roman" w:hAnsi="Times New Roman" w:hint="eastAsia"/>
                <w:color w:val="000000"/>
                <w:kern w:val="0"/>
                <w:szCs w:val="21"/>
              </w:rPr>
              <w:t>/</w:t>
            </w:r>
            <w:r>
              <w:rPr>
                <w:rFonts w:ascii="Times New Roman" w:hAnsi="Times New Roman" w:hint="eastAsia"/>
                <w:color w:val="000000"/>
                <w:kern w:val="0"/>
                <w:szCs w:val="21"/>
              </w:rPr>
              <w:t>国家标准</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行业</w:t>
            </w:r>
            <w:r>
              <w:rPr>
                <w:rFonts w:ascii="Times New Roman" w:hAnsi="Times New Roman" w:hint="eastAsia"/>
                <w:color w:val="000000"/>
                <w:kern w:val="0"/>
                <w:szCs w:val="21"/>
              </w:rPr>
              <w:t>/</w:t>
            </w:r>
            <w:r>
              <w:rPr>
                <w:rFonts w:ascii="Times New Roman" w:hAnsi="Times New Roman" w:hint="eastAsia"/>
                <w:color w:val="000000"/>
                <w:kern w:val="0"/>
                <w:szCs w:val="21"/>
              </w:rPr>
              <w:t>地方标准</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DE3D8A" w:rsidRDefault="00A67D2A">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1</w:t>
            </w:r>
            <w:r w:rsidR="006A1630">
              <w:rPr>
                <w:rFonts w:ascii="Times New Roman" w:hAnsi="Times New Roman" w:hint="eastAsia"/>
                <w:color w:val="000000"/>
                <w:kern w:val="0"/>
                <w:szCs w:val="21"/>
              </w:rPr>
              <w:t>项</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以转让方式转化科技成果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以许可方式转化科技成果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以作价投资方式转化科技成果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color w:val="000000"/>
                <w:kern w:val="0"/>
                <w:szCs w:val="21"/>
              </w:rPr>
              <w:t>项</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作价金额</w:t>
            </w:r>
          </w:p>
        </w:tc>
        <w:tc>
          <w:tcPr>
            <w:tcW w:w="118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c>
          <w:tcPr>
            <w:tcW w:w="1656"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Pr>
                <w:rFonts w:ascii="Times New Roman" w:hAnsi="Times New Roman" w:hint="eastAsia"/>
                <w:color w:val="000000"/>
                <w:kern w:val="0"/>
                <w:szCs w:val="21"/>
              </w:rPr>
              <w:t>万元</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rsidR="00DE3D8A" w:rsidRDefault="00DE3D8A">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产学研合作情况</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技术开发、咨询、服务项目合同数</w:t>
            </w:r>
          </w:p>
        </w:tc>
        <w:tc>
          <w:tcPr>
            <w:tcW w:w="900"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6</w:t>
            </w:r>
            <w:r>
              <w:rPr>
                <w:rFonts w:ascii="Times New Roman" w:hAnsi="Times New Roman"/>
                <w:color w:val="000000"/>
                <w:kern w:val="0"/>
                <w:szCs w:val="21"/>
              </w:rPr>
              <w:t>项</w:t>
            </w:r>
          </w:p>
        </w:tc>
        <w:tc>
          <w:tcPr>
            <w:tcW w:w="1944" w:type="dxa"/>
            <w:gridSpan w:val="6"/>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Default="006A1630">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技术开发、咨询、服务项目合同金额</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147.79</w:t>
            </w:r>
            <w:r>
              <w:rPr>
                <w:rFonts w:ascii="Times New Roman" w:hAnsi="Times New Roman" w:hint="eastAsia"/>
                <w:color w:val="000000"/>
                <w:kern w:val="0"/>
                <w:szCs w:val="21"/>
              </w:rPr>
              <w:t>万元</w:t>
            </w:r>
          </w:p>
        </w:tc>
      </w:tr>
      <w:tr w:rsidR="00DE3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tcBorders>
              <w:top w:val="single" w:sz="12" w:space="0" w:color="auto"/>
              <w:left w:val="single" w:sz="12" w:space="0" w:color="auto"/>
              <w:bottom w:val="single" w:sz="12" w:space="0" w:color="auto"/>
            </w:tcBorders>
            <w:vAlign w:val="center"/>
          </w:tcPr>
          <w:p w:rsidR="00DE3D8A" w:rsidRPr="00FA72B6" w:rsidRDefault="006A1630">
            <w:pPr>
              <w:widowControl/>
              <w:adjustRightInd w:val="0"/>
              <w:snapToGrid w:val="0"/>
              <w:jc w:val="center"/>
            </w:pPr>
            <w:r w:rsidRPr="00FA72B6">
              <w:rPr>
                <w:rFonts w:ascii="Times New Roman" w:hAnsi="Times New Roman" w:hint="eastAsia"/>
                <w:b/>
                <w:bCs/>
                <w:color w:val="000000"/>
                <w:kern w:val="0"/>
                <w:sz w:val="24"/>
              </w:rPr>
              <w:t>当年服务情况</w:t>
            </w:r>
          </w:p>
        </w:tc>
        <w:tc>
          <w:tcPr>
            <w:tcW w:w="2040" w:type="dxa"/>
            <w:gridSpan w:val="5"/>
            <w:tcBorders>
              <w:top w:val="single" w:sz="12" w:space="0" w:color="auto"/>
              <w:bottom w:val="single" w:sz="12" w:space="0" w:color="auto"/>
            </w:tcBorders>
            <w:shd w:val="clear" w:color="auto" w:fill="auto"/>
            <w:noWrap/>
            <w:vAlign w:val="center"/>
          </w:tcPr>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hint="eastAsia"/>
                <w:b/>
                <w:bCs/>
                <w:color w:val="000000"/>
                <w:kern w:val="0"/>
                <w:sz w:val="24"/>
              </w:rPr>
              <w:t>技术咨询</w:t>
            </w:r>
          </w:p>
        </w:tc>
        <w:tc>
          <w:tcPr>
            <w:tcW w:w="2652" w:type="dxa"/>
            <w:gridSpan w:val="6"/>
            <w:tcBorders>
              <w:top w:val="single" w:sz="12" w:space="0" w:color="auto"/>
              <w:bottom w:val="single" w:sz="12" w:space="0" w:color="auto"/>
            </w:tcBorders>
            <w:shd w:val="clear" w:color="auto" w:fill="auto"/>
            <w:noWrap/>
            <w:vAlign w:val="center"/>
          </w:tcPr>
          <w:p w:rsidR="00DE3D8A" w:rsidRPr="00FA72B6" w:rsidRDefault="006A1630">
            <w:pPr>
              <w:widowControl/>
              <w:adjustRightInd w:val="0"/>
              <w:snapToGrid w:val="0"/>
              <w:jc w:val="right"/>
              <w:rPr>
                <w:rFonts w:ascii="Times New Roman" w:hAnsi="Times New Roman"/>
                <w:color w:val="000000"/>
                <w:kern w:val="0"/>
                <w:szCs w:val="21"/>
              </w:rPr>
            </w:pPr>
            <w:r w:rsidRPr="00FA72B6">
              <w:rPr>
                <w:rFonts w:ascii="Times New Roman" w:hAnsi="Times New Roman" w:hint="eastAsia"/>
                <w:color w:val="000000"/>
                <w:kern w:val="0"/>
                <w:sz w:val="20"/>
                <w:szCs w:val="20"/>
              </w:rPr>
              <w:t>次</w:t>
            </w:r>
          </w:p>
        </w:tc>
        <w:tc>
          <w:tcPr>
            <w:tcW w:w="1944" w:type="dxa"/>
            <w:gridSpan w:val="6"/>
            <w:tcBorders>
              <w:top w:val="single" w:sz="12" w:space="0" w:color="auto"/>
              <w:bottom w:val="single" w:sz="12"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Cs w:val="21"/>
              </w:rPr>
            </w:pPr>
            <w:r w:rsidRPr="00FA72B6">
              <w:rPr>
                <w:rFonts w:ascii="Times New Roman" w:hAnsi="Times New Roman" w:hint="eastAsia"/>
                <w:b/>
                <w:bCs/>
                <w:color w:val="000000"/>
                <w:kern w:val="0"/>
                <w:sz w:val="24"/>
              </w:rPr>
              <w:t>培训服务</w:t>
            </w:r>
          </w:p>
        </w:tc>
        <w:tc>
          <w:tcPr>
            <w:tcW w:w="1061" w:type="dxa"/>
            <w:gridSpan w:val="2"/>
            <w:tcBorders>
              <w:top w:val="single" w:sz="12" w:space="0" w:color="auto"/>
              <w:bottom w:val="single" w:sz="12"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Cs w:val="21"/>
                <w:highlight w:val="darkGreen"/>
              </w:rPr>
            </w:pPr>
            <w:r w:rsidRPr="00B13602">
              <w:rPr>
                <w:rFonts w:ascii="Times New Roman" w:hAnsi="Times New Roman" w:hint="eastAsia"/>
                <w:color w:val="000000"/>
                <w:kern w:val="0"/>
                <w:szCs w:val="21"/>
              </w:rPr>
              <w:t>人次</w:t>
            </w:r>
          </w:p>
        </w:tc>
      </w:tr>
      <w:tr w:rsidR="00DE3D8A">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spacing w:line="360" w:lineRule="auto"/>
              <w:jc w:val="center"/>
              <w:rPr>
                <w:rFonts w:ascii="Times New Roman" w:hAnsi="Times New Roman"/>
                <w:b/>
                <w:color w:val="000000"/>
                <w:kern w:val="0"/>
                <w:sz w:val="24"/>
              </w:rPr>
            </w:pPr>
            <w:r w:rsidRPr="00FA72B6">
              <w:rPr>
                <w:rFonts w:ascii="Times New Roman" w:hAnsi="Times New Roman"/>
                <w:b/>
                <w:color w:val="000000"/>
                <w:kern w:val="0"/>
                <w:sz w:val="24"/>
              </w:rPr>
              <w:t>学科发展与人才培养</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b/>
                <w:bCs/>
                <w:color w:val="000000"/>
                <w:kern w:val="0"/>
                <w:sz w:val="24"/>
              </w:rPr>
              <w:t>依托学科</w:t>
            </w:r>
          </w:p>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w:t>
            </w:r>
            <w:r w:rsidRPr="00FA72B6">
              <w:rPr>
                <w:rFonts w:ascii="Times New Roman" w:hAnsi="Times New Roman"/>
                <w:color w:val="000000"/>
                <w:kern w:val="0"/>
                <w:sz w:val="24"/>
              </w:rPr>
              <w:t>据实增删</w:t>
            </w:r>
            <w:r w:rsidRPr="00FA72B6">
              <w:rPr>
                <w:rFonts w:ascii="Times New Roman" w:hAnsi="Times New Roman"/>
                <w:color w:val="000000"/>
                <w:kern w:val="0"/>
                <w:sz w:val="24"/>
              </w:rPr>
              <w:t>)</w:t>
            </w:r>
          </w:p>
        </w:tc>
        <w:tc>
          <w:tcPr>
            <w:tcW w:w="9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学科</w:t>
            </w:r>
            <w:r w:rsidRPr="00FA72B6">
              <w:rPr>
                <w:rFonts w:ascii="Times New Roman" w:hAnsi="Times New Roman"/>
                <w:color w:val="000000"/>
                <w:kern w:val="0"/>
                <w:sz w:val="24"/>
              </w:rPr>
              <w:t>1</w:t>
            </w:r>
          </w:p>
        </w:tc>
        <w:tc>
          <w:tcPr>
            <w:tcW w:w="1464"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眼科学</w:t>
            </w: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学科</w:t>
            </w:r>
            <w:r w:rsidRPr="00FA72B6">
              <w:rPr>
                <w:rFonts w:ascii="Times New Roman" w:hAnsi="Times New Roman"/>
                <w:color w:val="000000"/>
                <w:kern w:val="0"/>
                <w:sz w:val="24"/>
              </w:rPr>
              <w:t>2</w:t>
            </w:r>
          </w:p>
        </w:tc>
        <w:tc>
          <w:tcPr>
            <w:tcW w:w="1680" w:type="dxa"/>
            <w:gridSpan w:val="6"/>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DE3D8A">
            <w:pPr>
              <w:adjustRightInd w:val="0"/>
              <w:snapToGrid w:val="0"/>
              <w:jc w:val="center"/>
              <w:rPr>
                <w:rFonts w:ascii="Times New Roman" w:hAnsi="Times New Roman"/>
                <w:color w:val="000000"/>
                <w:kern w:val="0"/>
                <w:sz w:val="24"/>
              </w:rPr>
            </w:pPr>
          </w:p>
        </w:tc>
        <w:tc>
          <w:tcPr>
            <w:tcW w:w="833"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学科</w:t>
            </w:r>
            <w:r w:rsidRPr="00FA72B6">
              <w:rPr>
                <w:rFonts w:ascii="Times New Roman" w:hAnsi="Times New Roman"/>
                <w:color w:val="000000"/>
                <w:kern w:val="0"/>
                <w:sz w:val="24"/>
              </w:rPr>
              <w:t>3</w:t>
            </w:r>
          </w:p>
        </w:tc>
        <w:tc>
          <w:tcPr>
            <w:tcW w:w="1416" w:type="dxa"/>
            <w:gridSpan w:val="3"/>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DE3D8A">
            <w:pPr>
              <w:adjustRightInd w:val="0"/>
              <w:snapToGrid w:val="0"/>
              <w:jc w:val="center"/>
              <w:rPr>
                <w:rFonts w:ascii="Times New Roman" w:hAnsi="Times New Roman"/>
                <w:color w:val="000000"/>
                <w:kern w:val="0"/>
                <w:sz w:val="24"/>
                <w:highlight w:val="darkGreen"/>
              </w:rPr>
            </w:pPr>
          </w:p>
        </w:tc>
      </w:tr>
      <w:tr w:rsidR="00DE3D8A">
        <w:trPr>
          <w:trHeight w:val="567"/>
          <w:jc w:val="center"/>
        </w:trPr>
        <w:tc>
          <w:tcPr>
            <w:tcW w:w="961" w:type="dxa"/>
            <w:vMerge/>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DE3D8A">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b/>
                <w:bCs/>
                <w:color w:val="000000"/>
                <w:kern w:val="0"/>
                <w:sz w:val="24"/>
              </w:rPr>
              <w:t>研究生</w:t>
            </w:r>
          </w:p>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b/>
                <w:bCs/>
                <w:color w:val="000000"/>
                <w:kern w:val="0"/>
                <w:sz w:val="24"/>
              </w:rPr>
              <w:t>培养</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在读博士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E3D8A" w:rsidRPr="00FA72B6" w:rsidRDefault="00B13602">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11</w:t>
            </w:r>
            <w:r w:rsidR="006A1630" w:rsidRPr="00FA72B6">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在读硕士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Default="00B13602" w:rsidP="00B13602">
            <w:pPr>
              <w:adjustRightInd w:val="0"/>
              <w:snapToGrid w:val="0"/>
              <w:jc w:val="right"/>
              <w:rPr>
                <w:rFonts w:ascii="Times New Roman" w:hAnsi="Times New Roman"/>
                <w:color w:val="000000"/>
                <w:kern w:val="0"/>
                <w:sz w:val="24"/>
                <w:highlight w:val="darkGreen"/>
              </w:rPr>
            </w:pPr>
            <w:r>
              <w:rPr>
                <w:rFonts w:ascii="Times New Roman" w:hAnsi="Times New Roman" w:hint="eastAsia"/>
                <w:color w:val="000000"/>
                <w:kern w:val="0"/>
                <w:sz w:val="24"/>
              </w:rPr>
              <w:t>18</w:t>
            </w:r>
            <w:r w:rsidR="006A1630" w:rsidRPr="00B13602">
              <w:rPr>
                <w:rFonts w:ascii="Times New Roman" w:hAnsi="Times New Roman"/>
                <w:color w:val="000000"/>
                <w:kern w:val="0"/>
                <w:sz w:val="24"/>
              </w:rPr>
              <w:t>人</w:t>
            </w:r>
          </w:p>
        </w:tc>
      </w:tr>
      <w:tr w:rsidR="00DE3D8A" w:rsidRPr="00A67D2A">
        <w:trPr>
          <w:trHeight w:val="550"/>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DE3D8A" w:rsidRPr="00FA72B6" w:rsidRDefault="00DE3D8A">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DE3D8A">
            <w:pPr>
              <w:widowControl/>
              <w:adjustRightInd w:val="0"/>
              <w:snapToGrid w:val="0"/>
              <w:jc w:val="center"/>
              <w:rPr>
                <w:rFonts w:ascii="Times New Roman" w:hAnsi="Times New Roman"/>
                <w:color w:val="000000"/>
                <w:kern w:val="0"/>
                <w:sz w:val="24"/>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当年毕业博士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572F9E">
            <w:pPr>
              <w:widowControl/>
              <w:pBdr>
                <w:bottom w:val="single" w:sz="6" w:space="1" w:color="auto"/>
              </w:pBdr>
              <w:tabs>
                <w:tab w:val="center" w:pos="4153"/>
                <w:tab w:val="right" w:pos="8306"/>
              </w:tabs>
              <w:adjustRightInd w:val="0"/>
              <w:snapToGrid w:val="0"/>
              <w:jc w:val="right"/>
              <w:rPr>
                <w:rFonts w:ascii="Times New Roman" w:hAnsi="Times New Roman"/>
                <w:color w:val="000000"/>
                <w:kern w:val="0"/>
                <w:sz w:val="24"/>
              </w:rPr>
            </w:pPr>
            <w:r w:rsidRPr="00FA72B6">
              <w:rPr>
                <w:rFonts w:ascii="Times New Roman" w:hAnsi="Times New Roman"/>
                <w:color w:val="000000"/>
                <w:kern w:val="0"/>
                <w:sz w:val="24"/>
              </w:rPr>
              <w:t>4</w:t>
            </w:r>
            <w:r w:rsidRPr="00FA72B6">
              <w:rPr>
                <w:rFonts w:ascii="Times New Roman" w:hAnsi="Times New Roman" w:hint="eastAsia"/>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572F9E">
            <w:pPr>
              <w:widowControl/>
              <w:adjustRightInd w:val="0"/>
              <w:snapToGrid w:val="0"/>
              <w:jc w:val="center"/>
              <w:rPr>
                <w:rFonts w:ascii="Times New Roman" w:hAnsi="Times New Roman"/>
                <w:color w:val="000000"/>
                <w:kern w:val="0"/>
                <w:sz w:val="24"/>
              </w:rPr>
            </w:pPr>
            <w:r w:rsidRPr="00FA72B6">
              <w:rPr>
                <w:rFonts w:ascii="Times New Roman" w:hAnsi="Times New Roman" w:hint="eastAsia"/>
                <w:color w:val="000000"/>
                <w:kern w:val="0"/>
                <w:sz w:val="24"/>
              </w:rPr>
              <w:t>当年毕业硕士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Pr="00A67D2A" w:rsidRDefault="00572F9E">
            <w:pPr>
              <w:widowControl/>
              <w:adjustRightInd w:val="0"/>
              <w:snapToGrid w:val="0"/>
              <w:jc w:val="right"/>
              <w:rPr>
                <w:rFonts w:ascii="Times New Roman" w:hAnsi="Times New Roman"/>
                <w:color w:val="000000"/>
                <w:kern w:val="0"/>
                <w:sz w:val="24"/>
              </w:rPr>
            </w:pPr>
            <w:r w:rsidRPr="00572F9E">
              <w:rPr>
                <w:rFonts w:ascii="Times New Roman" w:hAnsi="Times New Roman"/>
                <w:kern w:val="0"/>
                <w:sz w:val="24"/>
              </w:rPr>
              <w:t>13</w:t>
            </w:r>
            <w:r w:rsidRPr="00572F9E">
              <w:rPr>
                <w:rFonts w:ascii="Times New Roman" w:hAnsi="Times New Roman" w:hint="eastAsia"/>
                <w:color w:val="000000"/>
                <w:kern w:val="0"/>
                <w:sz w:val="24"/>
              </w:rPr>
              <w:t>人</w:t>
            </w:r>
          </w:p>
        </w:tc>
      </w:tr>
      <w:tr w:rsidR="00DE3D8A">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DE3D8A" w:rsidRPr="00FA72B6" w:rsidRDefault="00DE3D8A">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hint="eastAsia"/>
                <w:b/>
                <w:bCs/>
                <w:color w:val="000000"/>
                <w:kern w:val="0"/>
                <w:sz w:val="24"/>
              </w:rPr>
              <w:t>学科建设</w:t>
            </w:r>
          </w:p>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hint="eastAsia"/>
                <w:color w:val="000000"/>
                <w:kern w:val="0"/>
                <w:sz w:val="24"/>
              </w:rPr>
              <w:t>（当年情况）</w:t>
            </w:r>
          </w:p>
        </w:tc>
        <w:tc>
          <w:tcPr>
            <w:tcW w:w="1046"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hint="eastAsia"/>
                <w:color w:val="000000"/>
                <w:kern w:val="0"/>
                <w:sz w:val="24"/>
              </w:rPr>
              <w:t>承担本科课程</w:t>
            </w:r>
          </w:p>
        </w:tc>
        <w:tc>
          <w:tcPr>
            <w:tcW w:w="110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B13602">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98</w:t>
            </w:r>
            <w:r w:rsidR="006A1630" w:rsidRPr="00FA72B6">
              <w:rPr>
                <w:rFonts w:ascii="Times New Roman" w:hAnsi="Times New Roman" w:hint="eastAsia"/>
                <w:color w:val="000000"/>
                <w:kern w:val="0"/>
                <w:sz w:val="24"/>
              </w:rPr>
              <w:t>学时</w:t>
            </w:r>
          </w:p>
        </w:tc>
        <w:tc>
          <w:tcPr>
            <w:tcW w:w="1416"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承担研究生课程</w:t>
            </w:r>
          </w:p>
        </w:tc>
        <w:tc>
          <w:tcPr>
            <w:tcW w:w="1248"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B13602">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81</w:t>
            </w:r>
            <w:r w:rsidR="006A1630" w:rsidRPr="00FA72B6">
              <w:rPr>
                <w:rFonts w:ascii="Times New Roman" w:hAnsi="Times New Roman"/>
                <w:color w:val="000000"/>
                <w:kern w:val="0"/>
                <w:sz w:val="24"/>
              </w:rPr>
              <w:t>学时</w:t>
            </w:r>
          </w:p>
        </w:tc>
        <w:tc>
          <w:tcPr>
            <w:tcW w:w="1284"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hint="eastAsia"/>
                <w:color w:val="000000"/>
                <w:kern w:val="0"/>
                <w:sz w:val="24"/>
              </w:rPr>
              <w:t>大专院校</w:t>
            </w:r>
          </w:p>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hint="eastAsia"/>
                <w:color w:val="000000"/>
                <w:kern w:val="0"/>
                <w:sz w:val="24"/>
              </w:rPr>
              <w:t>教材</w:t>
            </w:r>
          </w:p>
        </w:tc>
        <w:tc>
          <w:tcPr>
            <w:tcW w:w="965" w:type="dxa"/>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DE3D8A" w:rsidRDefault="006A1630">
            <w:pPr>
              <w:widowControl/>
              <w:adjustRightInd w:val="0"/>
              <w:snapToGrid w:val="0"/>
              <w:jc w:val="right"/>
              <w:rPr>
                <w:rFonts w:ascii="Times New Roman" w:hAnsi="Times New Roman"/>
                <w:color w:val="000000"/>
                <w:kern w:val="0"/>
                <w:sz w:val="24"/>
                <w:highlight w:val="darkGreen"/>
              </w:rPr>
            </w:pPr>
            <w:r w:rsidRPr="00B13602">
              <w:rPr>
                <w:rFonts w:ascii="Times New Roman" w:hAnsi="Times New Roman" w:hint="eastAsia"/>
                <w:color w:val="000000"/>
                <w:kern w:val="0"/>
                <w:sz w:val="24"/>
              </w:rPr>
              <w:t>部</w:t>
            </w:r>
          </w:p>
        </w:tc>
      </w:tr>
      <w:tr w:rsidR="00DE3D8A">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DE3D8A" w:rsidRPr="00FA72B6" w:rsidRDefault="006A1630">
            <w:pPr>
              <w:adjustRightInd w:val="0"/>
              <w:snapToGrid w:val="0"/>
              <w:spacing w:line="360" w:lineRule="auto"/>
              <w:jc w:val="center"/>
              <w:rPr>
                <w:rFonts w:ascii="Times New Roman" w:hAnsi="Times New Roman"/>
                <w:b/>
                <w:color w:val="000000"/>
                <w:kern w:val="0"/>
                <w:sz w:val="24"/>
              </w:rPr>
            </w:pPr>
            <w:r w:rsidRPr="00FA72B6">
              <w:rPr>
                <w:rFonts w:ascii="Times New Roman" w:hAnsi="Times New Roman"/>
                <w:b/>
                <w:color w:val="000000"/>
                <w:kern w:val="0"/>
                <w:sz w:val="24"/>
              </w:rPr>
              <w:t>研究队伍建设</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hint="eastAsia"/>
                <w:b/>
                <w:bCs/>
                <w:color w:val="000000"/>
                <w:kern w:val="0"/>
                <w:sz w:val="24"/>
              </w:rPr>
              <w:t>科技人才</w:t>
            </w:r>
          </w:p>
        </w:tc>
        <w:tc>
          <w:tcPr>
            <w:tcW w:w="1046"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hint="eastAsia"/>
                <w:color w:val="000000"/>
                <w:kern w:val="0"/>
                <w:sz w:val="24"/>
              </w:rPr>
              <w:t>教授</w:t>
            </w:r>
          </w:p>
        </w:tc>
        <w:tc>
          <w:tcPr>
            <w:tcW w:w="1104"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DE3D8A" w:rsidRPr="00FA72B6" w:rsidRDefault="00BF45CF">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7</w:t>
            </w:r>
            <w:r w:rsidR="006A1630" w:rsidRPr="00FA72B6">
              <w:rPr>
                <w:rFonts w:ascii="Times New Roman" w:hAnsi="Times New Roman"/>
                <w:color w:val="000000"/>
                <w:kern w:val="0"/>
                <w:sz w:val="24"/>
              </w:rPr>
              <w:t>人</w:t>
            </w:r>
          </w:p>
        </w:tc>
        <w:tc>
          <w:tcPr>
            <w:tcW w:w="984"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hint="eastAsia"/>
                <w:color w:val="000000"/>
                <w:kern w:val="0"/>
                <w:sz w:val="24"/>
              </w:rPr>
              <w:t>副教授</w:t>
            </w:r>
          </w:p>
        </w:tc>
        <w:tc>
          <w:tcPr>
            <w:tcW w:w="1404"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BF45CF">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6</w:t>
            </w:r>
            <w:r w:rsidR="006A1630" w:rsidRPr="00FA72B6">
              <w:rPr>
                <w:rFonts w:ascii="Times New Roman" w:hAnsi="Times New Roman" w:hint="eastAsia"/>
                <w:color w:val="000000"/>
                <w:kern w:val="0"/>
                <w:sz w:val="24"/>
              </w:rPr>
              <w:t>人</w:t>
            </w:r>
          </w:p>
        </w:tc>
        <w:tc>
          <w:tcPr>
            <w:tcW w:w="948"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ind w:rightChars="13" w:right="27"/>
              <w:jc w:val="center"/>
              <w:rPr>
                <w:rFonts w:ascii="Times New Roman" w:hAnsi="Times New Roman"/>
                <w:color w:val="000000"/>
                <w:kern w:val="0"/>
                <w:sz w:val="24"/>
              </w:rPr>
            </w:pPr>
            <w:r w:rsidRPr="00FA72B6">
              <w:rPr>
                <w:rFonts w:ascii="Times New Roman" w:hAnsi="Times New Roman" w:hint="eastAsia"/>
                <w:color w:val="000000"/>
                <w:kern w:val="0"/>
                <w:sz w:val="24"/>
              </w:rPr>
              <w:t>讲师</w:t>
            </w:r>
          </w:p>
        </w:tc>
        <w:tc>
          <w:tcPr>
            <w:tcW w:w="1577" w:type="dxa"/>
            <w:gridSpan w:val="4"/>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DE3D8A" w:rsidRPr="00FA72B6" w:rsidRDefault="006A1630">
            <w:pPr>
              <w:widowControl/>
              <w:adjustRightInd w:val="0"/>
              <w:snapToGrid w:val="0"/>
              <w:jc w:val="right"/>
              <w:rPr>
                <w:rFonts w:ascii="Times New Roman" w:hAnsi="Times New Roman"/>
                <w:color w:val="000000"/>
                <w:kern w:val="0"/>
                <w:sz w:val="24"/>
              </w:rPr>
            </w:pPr>
            <w:r w:rsidRPr="00FA72B6">
              <w:rPr>
                <w:rFonts w:ascii="Times New Roman" w:hAnsi="Times New Roman" w:hint="eastAsia"/>
                <w:color w:val="000000"/>
                <w:kern w:val="0"/>
                <w:sz w:val="24"/>
              </w:rPr>
              <w:t>人</w:t>
            </w:r>
          </w:p>
        </w:tc>
      </w:tr>
      <w:tr w:rsidR="00DE3D8A">
        <w:trPr>
          <w:trHeight w:val="567"/>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DE3D8A" w:rsidRPr="00FA72B6" w:rsidRDefault="00DE3D8A">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b/>
                <w:bCs/>
                <w:color w:val="000000"/>
                <w:kern w:val="0"/>
                <w:sz w:val="24"/>
              </w:rPr>
              <w:t>访问学者</w:t>
            </w:r>
          </w:p>
        </w:tc>
        <w:tc>
          <w:tcPr>
            <w:tcW w:w="21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国内</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DE3D8A" w:rsidRPr="00FA72B6" w:rsidRDefault="006A1630">
            <w:pPr>
              <w:widowControl/>
              <w:adjustRightInd w:val="0"/>
              <w:snapToGrid w:val="0"/>
              <w:jc w:val="right"/>
              <w:rPr>
                <w:rFonts w:ascii="Times New Roman" w:hAnsi="Times New Roman"/>
                <w:color w:val="000000"/>
                <w:kern w:val="0"/>
                <w:sz w:val="24"/>
              </w:rPr>
            </w:pPr>
            <w:r w:rsidRPr="00FA72B6">
              <w:rPr>
                <w:rFonts w:ascii="Times New Roman" w:hAnsi="Times New Roman"/>
                <w:color w:val="000000"/>
                <w:kern w:val="0"/>
                <w:sz w:val="24"/>
              </w:rPr>
              <w:t>人</w:t>
            </w:r>
          </w:p>
        </w:tc>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国外</w:t>
            </w:r>
          </w:p>
        </w:tc>
        <w:tc>
          <w:tcPr>
            <w:tcW w:w="2525" w:type="dxa"/>
            <w:gridSpan w:val="6"/>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DE3D8A" w:rsidRPr="00FA72B6" w:rsidRDefault="006A1630">
            <w:pPr>
              <w:widowControl/>
              <w:adjustRightInd w:val="0"/>
              <w:snapToGrid w:val="0"/>
              <w:jc w:val="right"/>
              <w:rPr>
                <w:rFonts w:ascii="Times New Roman" w:hAnsi="Times New Roman"/>
                <w:sz w:val="24"/>
              </w:rPr>
            </w:pPr>
            <w:r w:rsidRPr="00FA72B6">
              <w:rPr>
                <w:rFonts w:ascii="Times New Roman" w:hAnsi="Times New Roman"/>
                <w:color w:val="000000"/>
                <w:kern w:val="0"/>
                <w:sz w:val="24"/>
              </w:rPr>
              <w:t>人</w:t>
            </w:r>
          </w:p>
        </w:tc>
      </w:tr>
      <w:tr w:rsidR="00DE3D8A" w:rsidRPr="00B13602">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DE3D8A" w:rsidRPr="00FA72B6" w:rsidRDefault="00DE3D8A">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rsidR="00DE3D8A" w:rsidRPr="00FA72B6" w:rsidRDefault="006A1630">
            <w:pPr>
              <w:widowControl/>
              <w:adjustRightInd w:val="0"/>
              <w:snapToGrid w:val="0"/>
              <w:jc w:val="center"/>
              <w:rPr>
                <w:rFonts w:ascii="Times New Roman" w:hAnsi="Times New Roman"/>
                <w:b/>
                <w:bCs/>
                <w:color w:val="000000"/>
                <w:kern w:val="0"/>
                <w:sz w:val="24"/>
              </w:rPr>
            </w:pPr>
            <w:r w:rsidRPr="00FA72B6">
              <w:rPr>
                <w:rFonts w:ascii="Times New Roman" w:hAnsi="Times New Roman"/>
                <w:b/>
                <w:bCs/>
                <w:color w:val="000000"/>
                <w:kern w:val="0"/>
                <w:sz w:val="24"/>
              </w:rPr>
              <w:t>博士后</w:t>
            </w:r>
          </w:p>
        </w:tc>
        <w:tc>
          <w:tcPr>
            <w:tcW w:w="2150" w:type="dxa"/>
            <w:gridSpan w:val="5"/>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本年度进站博士后</w:t>
            </w:r>
          </w:p>
        </w:tc>
        <w:tc>
          <w:tcPr>
            <w:tcW w:w="98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right"/>
              <w:rPr>
                <w:rFonts w:ascii="Times New Roman" w:hAnsi="Times New Roman"/>
                <w:color w:val="000000"/>
                <w:kern w:val="0"/>
                <w:sz w:val="24"/>
              </w:rPr>
            </w:pPr>
            <w:r w:rsidRPr="00FA72B6">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DE3D8A" w:rsidRPr="00FA72B6" w:rsidRDefault="006A1630">
            <w:pPr>
              <w:widowControl/>
              <w:adjustRightInd w:val="0"/>
              <w:snapToGrid w:val="0"/>
              <w:jc w:val="center"/>
              <w:rPr>
                <w:rFonts w:ascii="Times New Roman" w:hAnsi="Times New Roman"/>
                <w:color w:val="000000"/>
                <w:kern w:val="0"/>
                <w:sz w:val="24"/>
              </w:rPr>
            </w:pPr>
            <w:r w:rsidRPr="00FA72B6">
              <w:rPr>
                <w:rFonts w:ascii="Times New Roman" w:hAnsi="Times New Roman"/>
                <w:color w:val="000000"/>
                <w:kern w:val="0"/>
                <w:sz w:val="24"/>
              </w:rPr>
              <w:t>本年度出站博士后</w:t>
            </w:r>
          </w:p>
        </w:tc>
        <w:tc>
          <w:tcPr>
            <w:tcW w:w="1416" w:type="dxa"/>
            <w:gridSpan w:val="3"/>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DE3D8A" w:rsidRPr="00B13602" w:rsidRDefault="006A1630">
            <w:pPr>
              <w:widowControl/>
              <w:adjustRightInd w:val="0"/>
              <w:snapToGrid w:val="0"/>
              <w:jc w:val="right"/>
              <w:rPr>
                <w:rFonts w:ascii="Times New Roman" w:hAnsi="Times New Roman"/>
                <w:color w:val="000000"/>
                <w:kern w:val="0"/>
                <w:sz w:val="24"/>
              </w:rPr>
            </w:pPr>
            <w:r w:rsidRPr="00B13602">
              <w:rPr>
                <w:rFonts w:ascii="Times New Roman" w:hAnsi="Times New Roman"/>
                <w:color w:val="000000"/>
                <w:kern w:val="0"/>
                <w:sz w:val="24"/>
              </w:rPr>
              <w:t>人</w:t>
            </w:r>
          </w:p>
        </w:tc>
      </w:tr>
    </w:tbl>
    <w:p w:rsidR="00DE3D8A" w:rsidRDefault="00DE3D8A">
      <w:pPr>
        <w:spacing w:line="560" w:lineRule="exact"/>
        <w:rPr>
          <w:rFonts w:ascii="Times New Roman" w:eastAsia="黑体" w:hAnsi="Times New Roman"/>
          <w:sz w:val="32"/>
          <w:szCs w:val="32"/>
        </w:rPr>
      </w:pPr>
    </w:p>
    <w:p w:rsidR="00DE3D8A" w:rsidRDefault="00DE3D8A">
      <w:pPr>
        <w:rPr>
          <w:rFonts w:ascii="仿宋_GB2312" w:eastAsia="仿宋_GB2312" w:hAnsi="仿宋_GB2312" w:cs="仿宋_GB2312"/>
          <w:sz w:val="32"/>
          <w:szCs w:val="32"/>
        </w:rPr>
      </w:pPr>
    </w:p>
    <w:sectPr w:rsidR="00DE3D8A" w:rsidSect="00DC2E01">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8EC" w:rsidRDefault="000908EC" w:rsidP="00DE3D8A">
      <w:r>
        <w:separator/>
      </w:r>
    </w:p>
  </w:endnote>
  <w:endnote w:type="continuationSeparator" w:id="1">
    <w:p w:rsidR="000908EC" w:rsidRDefault="000908EC" w:rsidP="00DE3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方正兰亭超细黑简体"/>
    <w:charset w:val="86"/>
    <w:family w:val="auto"/>
    <w:pitch w:val="default"/>
    <w:sig w:usb0="00000000" w:usb1="00000000" w:usb2="00000000" w:usb3="00000000" w:csb0="00040000" w:csb1="00000000"/>
  </w:font>
  <w:font w:name="楷体_GB2312">
    <w:altName w:val="MS Mincho"/>
    <w:charset w:val="86"/>
    <w:family w:val="modern"/>
    <w:pitch w:val="default"/>
    <w:sig w:usb0="00000000" w:usb1="00000000" w:usb2="00000000" w:usb3="00000000" w:csb0="00000000" w:csb1="00000000"/>
  </w:font>
  <w:font w:name="楷体">
    <w:altName w:val="汉仪楷体KW"/>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0000000" w:usb2="00000000" w:usb3="00000000" w:csb0="00040000" w:csb1="00000000"/>
  </w:font>
  <w:font w:name="楷体-简">
    <w:altName w:val="微软雅黑"/>
    <w:charset w:val="86"/>
    <w:family w:val="auto"/>
    <w:pitch w:val="default"/>
    <w:sig w:usb0="00000000"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8A" w:rsidRDefault="00DE3D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8324"/>
      <w:docPartObj>
        <w:docPartGallery w:val="Page Numbers (Bottom of Page)"/>
        <w:docPartUnique/>
      </w:docPartObj>
    </w:sdtPr>
    <w:sdtContent>
      <w:p w:rsidR="00DC2E01" w:rsidRDefault="00266504">
        <w:pPr>
          <w:pStyle w:val="a5"/>
          <w:jc w:val="center"/>
        </w:pPr>
        <w:fldSimple w:instr=" PAGE   \* MERGEFORMAT ">
          <w:r w:rsidR="001A3D44" w:rsidRPr="001A3D44">
            <w:rPr>
              <w:noProof/>
              <w:lang w:val="zh-CN"/>
            </w:rPr>
            <w:t>4</w:t>
          </w:r>
        </w:fldSimple>
      </w:p>
    </w:sdtContent>
  </w:sdt>
  <w:p w:rsidR="00DE3D8A" w:rsidRDefault="00DE3D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8EC" w:rsidRDefault="000908EC" w:rsidP="00DE3D8A">
      <w:r>
        <w:separator/>
      </w:r>
    </w:p>
  </w:footnote>
  <w:footnote w:type="continuationSeparator" w:id="1">
    <w:p w:rsidR="000908EC" w:rsidRDefault="000908EC" w:rsidP="00DE3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8A" w:rsidRDefault="00DE3D8A">
    <w:pPr>
      <w:pStyle w:val="a6"/>
      <w:pBdr>
        <w:bottom w:val="none" w:sz="0" w:space="1" w:color="auto"/>
      </w:pBdr>
      <w:tabs>
        <w:tab w:val="clear" w:pos="8306"/>
        <w:tab w:val="left" w:pos="6465"/>
        <w:tab w:val="left" w:pos="8182"/>
        <w:tab w:val="right" w:pos="8844"/>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494B"/>
    <w:multiLevelType w:val="singleLevel"/>
    <w:tmpl w:val="06B1494B"/>
    <w:lvl w:ilvl="0">
      <w:start w:val="1"/>
      <w:numFmt w:val="chineseCounting"/>
      <w:suff w:val="nothing"/>
      <w:lvlText w:val="%1、"/>
      <w:lvlJc w:val="left"/>
      <w:rPr>
        <w:rFonts w:hint="eastAsia"/>
      </w:rPr>
    </w:lvl>
  </w:abstractNum>
  <w:abstractNum w:abstractNumId="1">
    <w:nsid w:val="08195A69"/>
    <w:multiLevelType w:val="multilevel"/>
    <w:tmpl w:val="08195A6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99D2BC8"/>
    <w:multiLevelType w:val="hybridMultilevel"/>
    <w:tmpl w:val="3D289914"/>
    <w:lvl w:ilvl="0" w:tplc="4224F43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9776FC"/>
    <w:multiLevelType w:val="hybridMultilevel"/>
    <w:tmpl w:val="DB6E9BE6"/>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2E178B3"/>
    <w:multiLevelType w:val="singleLevel"/>
    <w:tmpl w:val="32E178B3"/>
    <w:lvl w:ilvl="0">
      <w:start w:val="1"/>
      <w:numFmt w:val="decimal"/>
      <w:lvlText w:val="%1."/>
      <w:lvlJc w:val="left"/>
      <w:pPr>
        <w:tabs>
          <w:tab w:val="left" w:pos="312"/>
        </w:tabs>
        <w:ind w:left="640" w:firstLine="0"/>
      </w:pPr>
    </w:lvl>
  </w:abstractNum>
  <w:abstractNum w:abstractNumId="5">
    <w:nsid w:val="412189CC"/>
    <w:multiLevelType w:val="singleLevel"/>
    <w:tmpl w:val="412189CC"/>
    <w:lvl w:ilvl="0">
      <w:start w:val="1"/>
      <w:numFmt w:val="decimal"/>
      <w:lvlText w:val="%1."/>
      <w:lvlJc w:val="left"/>
      <w:pPr>
        <w:tabs>
          <w:tab w:val="left" w:pos="312"/>
        </w:tabs>
      </w:pPr>
    </w:lvl>
  </w:abstractNum>
  <w:abstractNum w:abstractNumId="6">
    <w:nsid w:val="51E45889"/>
    <w:multiLevelType w:val="hybridMultilevel"/>
    <w:tmpl w:val="7C5A0694"/>
    <w:lvl w:ilvl="0" w:tplc="FF3C428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6A395C"/>
    <w:multiLevelType w:val="hybridMultilevel"/>
    <w:tmpl w:val="0D32BCE6"/>
    <w:lvl w:ilvl="0" w:tplc="191835C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DC7D972"/>
    <w:multiLevelType w:val="singleLevel"/>
    <w:tmpl w:val="5DC7D972"/>
    <w:lvl w:ilvl="0">
      <w:start w:val="1"/>
      <w:numFmt w:val="bullet"/>
      <w:lvlText w:val=""/>
      <w:lvlJc w:val="left"/>
      <w:pPr>
        <w:ind w:left="420" w:hanging="420"/>
      </w:pPr>
      <w:rPr>
        <w:rFonts w:ascii="Wingdings" w:hAnsi="Wingdings" w:hint="default"/>
      </w:rPr>
    </w:lvl>
  </w:abstractNum>
  <w:abstractNum w:abstractNumId="9">
    <w:nsid w:val="5DC7DC2B"/>
    <w:multiLevelType w:val="singleLevel"/>
    <w:tmpl w:val="5DC7DC2B"/>
    <w:lvl w:ilvl="0">
      <w:start w:val="1"/>
      <w:numFmt w:val="decimal"/>
      <w:lvlText w:val="%1)"/>
      <w:lvlJc w:val="left"/>
      <w:pPr>
        <w:ind w:left="425" w:hanging="425"/>
      </w:pPr>
      <w:rPr>
        <w:rFonts w:hint="default"/>
      </w:rPr>
    </w:lvl>
  </w:abstractNum>
  <w:abstractNum w:abstractNumId="10">
    <w:nsid w:val="5EA2F429"/>
    <w:multiLevelType w:val="singleLevel"/>
    <w:tmpl w:val="5EA2F429"/>
    <w:lvl w:ilvl="0">
      <w:start w:val="1"/>
      <w:numFmt w:val="decimal"/>
      <w:lvlText w:val="%1)"/>
      <w:lvlJc w:val="left"/>
      <w:pPr>
        <w:ind w:left="425" w:hanging="425"/>
      </w:pPr>
      <w:rPr>
        <w:rFonts w:hint="default"/>
      </w:rPr>
    </w:lvl>
  </w:abstractNum>
  <w:abstractNum w:abstractNumId="11">
    <w:nsid w:val="5EA87FBF"/>
    <w:multiLevelType w:val="singleLevel"/>
    <w:tmpl w:val="5EA87FBF"/>
    <w:lvl w:ilvl="0">
      <w:start w:val="1"/>
      <w:numFmt w:val="bullet"/>
      <w:lvlText w:val=""/>
      <w:lvlJc w:val="left"/>
      <w:pPr>
        <w:ind w:left="420" w:hanging="420"/>
      </w:pPr>
      <w:rPr>
        <w:rFonts w:ascii="Wingdings" w:hAnsi="Wingdings" w:hint="default"/>
      </w:rPr>
    </w:lvl>
  </w:abstractNum>
  <w:abstractNum w:abstractNumId="12">
    <w:nsid w:val="6B2FBA17"/>
    <w:multiLevelType w:val="singleLevel"/>
    <w:tmpl w:val="6B2FBA17"/>
    <w:lvl w:ilvl="0">
      <w:start w:val="1"/>
      <w:numFmt w:val="decimal"/>
      <w:lvlText w:val="%1."/>
      <w:lvlJc w:val="left"/>
      <w:pPr>
        <w:tabs>
          <w:tab w:val="left" w:pos="-328"/>
        </w:tabs>
        <w:ind w:left="0" w:firstLine="0"/>
      </w:pPr>
    </w:lvl>
  </w:abstractNum>
  <w:abstractNum w:abstractNumId="13">
    <w:nsid w:val="74AC0EAF"/>
    <w:multiLevelType w:val="singleLevel"/>
    <w:tmpl w:val="E0DAD0AA"/>
    <w:lvl w:ilvl="0">
      <w:start w:val="1"/>
      <w:numFmt w:val="chineseCounting"/>
      <w:suff w:val="nothing"/>
      <w:lvlText w:val="%1、"/>
      <w:lvlJc w:val="left"/>
      <w:rPr>
        <w:rFonts w:ascii="黑体" w:eastAsia="黑体" w:hAnsi="黑体" w:cs="黑体" w:hint="eastAsia"/>
        <w:b w:val="0"/>
        <w:bCs w:val="0"/>
        <w:color w:val="FFFFFF" w:themeColor="background1"/>
      </w:rPr>
    </w:lvl>
  </w:abstractNum>
  <w:num w:numId="1">
    <w:abstractNumId w:val="0"/>
  </w:num>
  <w:num w:numId="2">
    <w:abstractNumId w:val="13"/>
  </w:num>
  <w:num w:numId="3">
    <w:abstractNumId w:val="1"/>
  </w:num>
  <w:num w:numId="4">
    <w:abstractNumId w:val="5"/>
  </w:num>
  <w:num w:numId="5">
    <w:abstractNumId w:val="10"/>
  </w:num>
  <w:num w:numId="6">
    <w:abstractNumId w:val="8"/>
  </w:num>
  <w:num w:numId="7">
    <w:abstractNumId w:val="9"/>
  </w:num>
  <w:num w:numId="8">
    <w:abstractNumId w:val="4"/>
  </w:num>
  <w:num w:numId="9">
    <w:abstractNumId w:val="11"/>
  </w:num>
  <w:num w:numId="10">
    <w:abstractNumId w:val="12"/>
  </w:num>
  <w:num w:numId="11">
    <w:abstractNumId w:val="3"/>
  </w:num>
  <w:num w:numId="12">
    <w:abstractNumId w:val="6"/>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FBE7C5B"/>
    <w:rsid w:val="A8FBE36F"/>
    <w:rsid w:val="B6F38D25"/>
    <w:rsid w:val="BFFF1653"/>
    <w:rsid w:val="CF3ECF3C"/>
    <w:rsid w:val="D75EA570"/>
    <w:rsid w:val="DE4D3FD4"/>
    <w:rsid w:val="E6EFCBEB"/>
    <w:rsid w:val="EEF998C2"/>
    <w:rsid w:val="EFFBCCDD"/>
    <w:rsid w:val="F1DF0704"/>
    <w:rsid w:val="F3F22830"/>
    <w:rsid w:val="F57A0B96"/>
    <w:rsid w:val="F6FFAE3F"/>
    <w:rsid w:val="F96FFA8B"/>
    <w:rsid w:val="FB6F09E9"/>
    <w:rsid w:val="FBFCD055"/>
    <w:rsid w:val="FDB7FCD3"/>
    <w:rsid w:val="0002087E"/>
    <w:rsid w:val="00042B38"/>
    <w:rsid w:val="000908EC"/>
    <w:rsid w:val="00134ABD"/>
    <w:rsid w:val="00194584"/>
    <w:rsid w:val="001A3D44"/>
    <w:rsid w:val="002410B9"/>
    <w:rsid w:val="002519BF"/>
    <w:rsid w:val="00266504"/>
    <w:rsid w:val="00302C57"/>
    <w:rsid w:val="003D371F"/>
    <w:rsid w:val="003D65A2"/>
    <w:rsid w:val="004C612E"/>
    <w:rsid w:val="005130F9"/>
    <w:rsid w:val="0054293A"/>
    <w:rsid w:val="00572F9E"/>
    <w:rsid w:val="005F1350"/>
    <w:rsid w:val="00624BC3"/>
    <w:rsid w:val="006332B6"/>
    <w:rsid w:val="00686E3E"/>
    <w:rsid w:val="0069408F"/>
    <w:rsid w:val="006A02A8"/>
    <w:rsid w:val="006A1630"/>
    <w:rsid w:val="006B4286"/>
    <w:rsid w:val="006C2A1C"/>
    <w:rsid w:val="007649B0"/>
    <w:rsid w:val="007B312A"/>
    <w:rsid w:val="007D3D73"/>
    <w:rsid w:val="007F4FE5"/>
    <w:rsid w:val="008F58D4"/>
    <w:rsid w:val="0092275C"/>
    <w:rsid w:val="00940153"/>
    <w:rsid w:val="009A42FF"/>
    <w:rsid w:val="00A67D2A"/>
    <w:rsid w:val="00A7256D"/>
    <w:rsid w:val="00AB0249"/>
    <w:rsid w:val="00B13602"/>
    <w:rsid w:val="00B30B5B"/>
    <w:rsid w:val="00B33736"/>
    <w:rsid w:val="00B33AFA"/>
    <w:rsid w:val="00B562BA"/>
    <w:rsid w:val="00BE66EA"/>
    <w:rsid w:val="00BF45CF"/>
    <w:rsid w:val="00C13BF6"/>
    <w:rsid w:val="00C770E3"/>
    <w:rsid w:val="00CC7763"/>
    <w:rsid w:val="00CE2E91"/>
    <w:rsid w:val="00CF40E2"/>
    <w:rsid w:val="00DA01CB"/>
    <w:rsid w:val="00DC06AA"/>
    <w:rsid w:val="00DC2E01"/>
    <w:rsid w:val="00DE3D8A"/>
    <w:rsid w:val="00E13C2E"/>
    <w:rsid w:val="00E849A9"/>
    <w:rsid w:val="00EA3AF4"/>
    <w:rsid w:val="00ED50B6"/>
    <w:rsid w:val="00EF15CB"/>
    <w:rsid w:val="00F8139B"/>
    <w:rsid w:val="00FA72B6"/>
    <w:rsid w:val="024853D4"/>
    <w:rsid w:val="06793975"/>
    <w:rsid w:val="08685AA0"/>
    <w:rsid w:val="0B550297"/>
    <w:rsid w:val="0FBE7C5B"/>
    <w:rsid w:val="112D6B48"/>
    <w:rsid w:val="13F00D60"/>
    <w:rsid w:val="147029F7"/>
    <w:rsid w:val="16600387"/>
    <w:rsid w:val="2C7A1812"/>
    <w:rsid w:val="2F65488C"/>
    <w:rsid w:val="2FEF44E1"/>
    <w:rsid w:val="37DE7239"/>
    <w:rsid w:val="38054F5A"/>
    <w:rsid w:val="396D2962"/>
    <w:rsid w:val="3D6E3F29"/>
    <w:rsid w:val="3F26F14E"/>
    <w:rsid w:val="3F7B0412"/>
    <w:rsid w:val="421E55D7"/>
    <w:rsid w:val="45560137"/>
    <w:rsid w:val="45923D42"/>
    <w:rsid w:val="47D31EAC"/>
    <w:rsid w:val="4DDC3C71"/>
    <w:rsid w:val="4DED58E1"/>
    <w:rsid w:val="4E6C575C"/>
    <w:rsid w:val="4F097301"/>
    <w:rsid w:val="511E25EF"/>
    <w:rsid w:val="53371EB4"/>
    <w:rsid w:val="53617DE9"/>
    <w:rsid w:val="54AD340C"/>
    <w:rsid w:val="55E7328A"/>
    <w:rsid w:val="5C3034F7"/>
    <w:rsid w:val="5D3B62B8"/>
    <w:rsid w:val="5DFB5E6D"/>
    <w:rsid w:val="5E5C2CE7"/>
    <w:rsid w:val="5FF7E07D"/>
    <w:rsid w:val="5FFD6B7B"/>
    <w:rsid w:val="636A12E1"/>
    <w:rsid w:val="644C4713"/>
    <w:rsid w:val="66C0493C"/>
    <w:rsid w:val="67FBE69F"/>
    <w:rsid w:val="682428A6"/>
    <w:rsid w:val="6B6F9692"/>
    <w:rsid w:val="6E277EE8"/>
    <w:rsid w:val="6E5C73F3"/>
    <w:rsid w:val="6EE7872A"/>
    <w:rsid w:val="6F430A27"/>
    <w:rsid w:val="6F5B6A56"/>
    <w:rsid w:val="72A447F6"/>
    <w:rsid w:val="73E2408C"/>
    <w:rsid w:val="770B018A"/>
    <w:rsid w:val="77DD0DA2"/>
    <w:rsid w:val="77F5B99E"/>
    <w:rsid w:val="77FF7AF3"/>
    <w:rsid w:val="7A407D51"/>
    <w:rsid w:val="7D523AEE"/>
    <w:rsid w:val="7E2E7571"/>
    <w:rsid w:val="7FFE2F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D8A"/>
    <w:pPr>
      <w:widowControl w:val="0"/>
      <w:jc w:val="both"/>
    </w:pPr>
    <w:rPr>
      <w:rFonts w:ascii="Calibri" w:hAnsi="Calibri"/>
      <w:kern w:val="2"/>
      <w:sz w:val="21"/>
      <w:szCs w:val="24"/>
    </w:rPr>
  </w:style>
  <w:style w:type="paragraph" w:styleId="3">
    <w:name w:val="heading 3"/>
    <w:basedOn w:val="a"/>
    <w:next w:val="a"/>
    <w:unhideWhenUsed/>
    <w:qFormat/>
    <w:rsid w:val="00DE3D8A"/>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E3D8A"/>
    <w:pPr>
      <w:spacing w:line="520" w:lineRule="exact"/>
      <w:ind w:firstLine="561"/>
      <w:jc w:val="left"/>
    </w:pPr>
    <w:rPr>
      <w:rFonts w:ascii="仿宋_GB2312" w:eastAsia="仿宋_GB2312"/>
      <w:sz w:val="28"/>
      <w:szCs w:val="20"/>
    </w:rPr>
  </w:style>
  <w:style w:type="paragraph" w:styleId="a4">
    <w:name w:val="Balloon Text"/>
    <w:basedOn w:val="a"/>
    <w:link w:val="Char"/>
    <w:qFormat/>
    <w:rsid w:val="00DE3D8A"/>
    <w:rPr>
      <w:sz w:val="18"/>
      <w:szCs w:val="18"/>
    </w:rPr>
  </w:style>
  <w:style w:type="paragraph" w:styleId="a5">
    <w:name w:val="footer"/>
    <w:basedOn w:val="a"/>
    <w:link w:val="Char0"/>
    <w:uiPriority w:val="99"/>
    <w:qFormat/>
    <w:rsid w:val="00DE3D8A"/>
    <w:pPr>
      <w:tabs>
        <w:tab w:val="center" w:pos="4153"/>
        <w:tab w:val="right" w:pos="8306"/>
      </w:tabs>
      <w:snapToGrid w:val="0"/>
      <w:jc w:val="left"/>
    </w:pPr>
    <w:rPr>
      <w:sz w:val="18"/>
    </w:rPr>
  </w:style>
  <w:style w:type="paragraph" w:styleId="a6">
    <w:name w:val="header"/>
    <w:basedOn w:val="a"/>
    <w:qFormat/>
    <w:rsid w:val="00DE3D8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E3D8A"/>
    <w:pPr>
      <w:spacing w:beforeAutospacing="1" w:afterAutospacing="1"/>
      <w:jc w:val="left"/>
    </w:pPr>
    <w:rPr>
      <w:kern w:val="0"/>
      <w:sz w:val="24"/>
    </w:rPr>
  </w:style>
  <w:style w:type="character" w:styleId="a8">
    <w:name w:val="Hyperlink"/>
    <w:basedOn w:val="a0"/>
    <w:qFormat/>
    <w:rsid w:val="00DE3D8A"/>
    <w:rPr>
      <w:color w:val="0000FF"/>
      <w:u w:val="single"/>
    </w:rPr>
  </w:style>
  <w:style w:type="table" w:styleId="a9">
    <w:name w:val="Table Grid"/>
    <w:basedOn w:val="a1"/>
    <w:qFormat/>
    <w:rsid w:val="00DE3D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DE3D8A"/>
    <w:pPr>
      <w:ind w:firstLineChars="200" w:firstLine="420"/>
    </w:pPr>
  </w:style>
  <w:style w:type="character" w:customStyle="1" w:styleId="10">
    <w:name w:val="页码1"/>
    <w:qFormat/>
    <w:rsid w:val="00DE3D8A"/>
    <w:rPr>
      <w:rFonts w:cs="Times New Roman"/>
    </w:rPr>
  </w:style>
  <w:style w:type="character" w:customStyle="1" w:styleId="Char">
    <w:name w:val="批注框文本 Char"/>
    <w:basedOn w:val="a0"/>
    <w:link w:val="a4"/>
    <w:qFormat/>
    <w:rsid w:val="00DE3D8A"/>
    <w:rPr>
      <w:rFonts w:ascii="Calibri" w:hAnsi="Calibri"/>
      <w:kern w:val="2"/>
      <w:sz w:val="18"/>
      <w:szCs w:val="18"/>
    </w:rPr>
  </w:style>
  <w:style w:type="paragraph" w:styleId="aa">
    <w:name w:val="List Paragraph"/>
    <w:basedOn w:val="a"/>
    <w:uiPriority w:val="99"/>
    <w:unhideWhenUsed/>
    <w:rsid w:val="00EF15CB"/>
    <w:pPr>
      <w:ind w:firstLineChars="200" w:firstLine="420"/>
    </w:pPr>
  </w:style>
  <w:style w:type="character" w:customStyle="1" w:styleId="Char0">
    <w:name w:val="页脚 Char"/>
    <w:basedOn w:val="a0"/>
    <w:link w:val="a5"/>
    <w:uiPriority w:val="99"/>
    <w:rsid w:val="00042B38"/>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597f7d-00b8-499e-a68f-587765a9bb70}"/>
        <w:category>
          <w:name w:val="常规"/>
          <w:gallery w:val="placeholder"/>
        </w:category>
        <w:types>
          <w:type w:val="bbPlcHdr"/>
        </w:types>
        <w:behaviors>
          <w:behavior w:val="content"/>
        </w:behaviors>
        <w:guid w:val="{8F597F7D-00B8-499E-A68F-587765A9BB70}"/>
      </w:docPartPr>
      <w:docPartBody>
        <w:p w:rsidR="0038184E" w:rsidRDefault="0038184E">
          <w:r>
            <w:rPr>
              <w:color w:val="808080"/>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方正兰亭超细黑简体"/>
    <w:charset w:val="86"/>
    <w:family w:val="auto"/>
    <w:pitch w:val="default"/>
    <w:sig w:usb0="00000000" w:usb1="00000000" w:usb2="00000000" w:usb3="00000000" w:csb0="00040000" w:csb1="00000000"/>
  </w:font>
  <w:font w:name="楷体_GB2312">
    <w:altName w:val="MS Mincho"/>
    <w:charset w:val="86"/>
    <w:family w:val="modern"/>
    <w:pitch w:val="default"/>
    <w:sig w:usb0="00000000" w:usb1="00000000" w:usb2="00000000" w:usb3="00000000" w:csb0="00000000" w:csb1="00000000"/>
  </w:font>
  <w:font w:name="楷体">
    <w:altName w:val="汉仪楷体KW"/>
    <w:panose1 w:val="02010609060101010101"/>
    <w:charset w:val="86"/>
    <w:family w:val="modern"/>
    <w:pitch w:val="fixed"/>
    <w:sig w:usb0="800002BF" w:usb1="38CF7CFA" w:usb2="00000016" w:usb3="00000000" w:csb0="00040001" w:csb1="00000000"/>
  </w:font>
  <w:font w:name="方正小标宋简体">
    <w:altName w:val="SimSun-ExtB"/>
    <w:charset w:val="86"/>
    <w:family w:val="script"/>
    <w:pitch w:val="default"/>
    <w:sig w:usb0="00000000" w:usb1="00000000" w:usb2="00000000" w:usb3="00000000" w:csb0="00040000" w:csb1="00000000"/>
  </w:font>
  <w:font w:name="楷体-简">
    <w:altName w:val="微软雅黑"/>
    <w:charset w:val="86"/>
    <w:family w:val="auto"/>
    <w:pitch w:val="default"/>
    <w:sig w:usb0="00000000" w:usb1="280F3C52" w:usb2="00000016" w:usb3="00000000" w:csb0="0004001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FE7090"/>
    <w:rsid w:val="001266EF"/>
    <w:rsid w:val="0038184E"/>
    <w:rsid w:val="00727533"/>
    <w:rsid w:val="00760485"/>
    <w:rsid w:val="009A3CB7"/>
    <w:rsid w:val="009C7E5E"/>
    <w:rsid w:val="009D374A"/>
    <w:rsid w:val="00BF1496"/>
    <w:rsid w:val="00D33C7E"/>
    <w:rsid w:val="00FE70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D6C1CFE-6653-49B4-B010-BA47E3400C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12</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27</cp:revision>
  <cp:lastPrinted>2020-05-07T07:16:00Z</cp:lastPrinted>
  <dcterms:created xsi:type="dcterms:W3CDTF">2020-05-07T06:56:00Z</dcterms:created>
  <dcterms:modified xsi:type="dcterms:W3CDTF">2020-05-08T01:44:00Z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